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A158D">
      <w:pPr>
        <w:spacing w:line="360" w:lineRule="auto"/>
        <w:jc w:val="center"/>
        <w:outlineLvl w:val="0"/>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采购需求</w:t>
      </w:r>
    </w:p>
    <w:p w14:paraId="0E9FAF8D">
      <w:pPr>
        <w:rPr>
          <w:rFonts w:ascii="Times New Roman" w:hAnsi="Times New Roman" w:eastAsia="宋体" w:cs="Times New Roman"/>
          <w:highlight w:val="none"/>
        </w:rPr>
      </w:pPr>
    </w:p>
    <w:p w14:paraId="02EFA663">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重要说明：</w:t>
      </w:r>
    </w:p>
    <w:p w14:paraId="0137F719">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1、所有产品均不接受进口产品投标。</w:t>
      </w:r>
    </w:p>
    <w:p w14:paraId="40CD4628">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2、技术需求条款中带“★”号的条款为实质性响应条款，带“#”号为重要条款，如投标人在《投标文件》中不满足任何一项实质性条款，为不实质性响应《招标文件》，其《投标文件》将被拒绝。</w:t>
      </w:r>
      <w:bookmarkStart w:id="13" w:name="_GoBack"/>
      <w:bookmarkEnd w:id="13"/>
    </w:p>
    <w:p w14:paraId="1333AFB2">
      <w:pPr>
        <w:keepNext/>
        <w:numPr>
          <w:ilvl w:val="1"/>
          <w:numId w:val="1"/>
        </w:numPr>
        <w:spacing w:before="240" w:beforeLines="100" w:after="120" w:afterLines="50" w:line="360" w:lineRule="auto"/>
        <w:ind w:left="567"/>
        <w:outlineLvl w:val="1"/>
        <w:rPr>
          <w:rFonts w:ascii="宋体" w:hAnsi="宋体" w:eastAsia="宋体" w:cs="宋体"/>
          <w:b/>
          <w:kern w:val="2"/>
          <w:sz w:val="24"/>
          <w:szCs w:val="24"/>
          <w:highlight w:val="none"/>
          <w:lang w:val="en-US" w:eastAsia="zh-CN" w:bidi="ar-SA"/>
        </w:rPr>
      </w:pPr>
      <w:bookmarkStart w:id="0" w:name="_Toc26000"/>
      <w:bookmarkStart w:id="1" w:name="_Toc5387"/>
      <w:bookmarkStart w:id="2" w:name="_Toc21267"/>
      <w:r>
        <w:rPr>
          <w:rFonts w:hint="eastAsia" w:ascii="宋体" w:hAnsi="宋体" w:eastAsia="宋体" w:cs="宋体"/>
          <w:b/>
          <w:kern w:val="2"/>
          <w:sz w:val="24"/>
          <w:szCs w:val="24"/>
          <w:highlight w:val="none"/>
          <w:lang w:val="en-US" w:eastAsia="zh-CN" w:bidi="ar-SA"/>
        </w:rPr>
        <w:t>采购标的</w:t>
      </w:r>
    </w:p>
    <w:bookmarkEnd w:id="0"/>
    <w:p w14:paraId="4588ABEC">
      <w:pPr>
        <w:keepNext/>
        <w:numPr>
          <w:ilvl w:val="2"/>
          <w:numId w:val="2"/>
        </w:numPr>
        <w:spacing w:before="240" w:beforeLines="100" w:after="120" w:afterLines="50" w:line="360" w:lineRule="auto"/>
        <w:ind w:left="720"/>
        <w:outlineLvl w:val="2"/>
        <w:rPr>
          <w:rFonts w:ascii="宋体" w:hAnsi="宋体" w:eastAsia="宋体" w:cs="宋体"/>
          <w:b/>
          <w:kern w:val="2"/>
          <w:sz w:val="24"/>
          <w:szCs w:val="24"/>
          <w:highlight w:val="none"/>
          <w:lang w:val="en-US" w:eastAsia="zh-CN" w:bidi="ar-SA"/>
        </w:rPr>
      </w:pPr>
      <w:bookmarkStart w:id="3" w:name="_Toc6645"/>
      <w:r>
        <w:rPr>
          <w:rFonts w:hint="eastAsia" w:ascii="宋体" w:hAnsi="宋体" w:eastAsia="宋体" w:cs="宋体"/>
          <w:b/>
          <w:kern w:val="2"/>
          <w:sz w:val="24"/>
          <w:szCs w:val="24"/>
          <w:highlight w:val="none"/>
          <w:lang w:val="en-US" w:eastAsia="zh-CN" w:bidi="ar-SA"/>
        </w:rPr>
        <w:t>采购标的</w:t>
      </w:r>
      <w:bookmarkEnd w:id="3"/>
      <w:r>
        <w:rPr>
          <w:rFonts w:hint="eastAsia" w:ascii="宋体" w:hAnsi="宋体" w:eastAsia="宋体" w:cs="宋体"/>
          <w:b/>
          <w:kern w:val="2"/>
          <w:sz w:val="24"/>
          <w:szCs w:val="24"/>
          <w:highlight w:val="none"/>
          <w:lang w:val="en-US" w:eastAsia="zh-CN" w:bidi="ar-SA"/>
        </w:rPr>
        <w:t>（本项目不接受进口产品）</w:t>
      </w:r>
    </w:p>
    <w:p w14:paraId="4110DDEC">
      <w:pPr>
        <w:spacing w:line="360" w:lineRule="auto"/>
        <w:ind w:firstLine="482" w:firstLineChars="200"/>
        <w:contextualSpacing/>
        <w:rPr>
          <w:rFonts w:ascii="宋体" w:hAnsi="宋体" w:eastAsia="宋体" w:cs="宋体"/>
          <w:b/>
          <w:bCs/>
          <w:sz w:val="24"/>
          <w:highlight w:val="none"/>
        </w:rPr>
      </w:pPr>
      <w:r>
        <w:rPr>
          <w:rFonts w:hint="eastAsia" w:ascii="宋体" w:hAnsi="宋体" w:eastAsia="宋体" w:cs="宋体"/>
          <w:b/>
          <w:bCs/>
          <w:sz w:val="24"/>
          <w:highlight w:val="none"/>
        </w:rPr>
        <w:t>★投标分项报价表中分项合价不得超过下表中各分项限价金额，且投标报价不得超过项目预算金额，否则投标无效。</w:t>
      </w:r>
    </w:p>
    <w:p w14:paraId="66EEC287">
      <w:pPr>
        <w:ind w:firstLine="484" w:firstLineChars="202"/>
        <w:rPr>
          <w:rFonts w:ascii="宋体" w:hAnsi="宋体" w:eastAsia="宋体" w:cs="宋体"/>
          <w:sz w:val="24"/>
          <w:highlight w:val="none"/>
        </w:rPr>
      </w:pPr>
    </w:p>
    <w:tbl>
      <w:tblPr>
        <w:tblStyle w:val="2"/>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679"/>
        <w:gridCol w:w="884"/>
        <w:gridCol w:w="1453"/>
        <w:gridCol w:w="2183"/>
        <w:gridCol w:w="1453"/>
      </w:tblGrid>
      <w:tr w14:paraId="0B4B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vAlign w:val="center"/>
          </w:tcPr>
          <w:p w14:paraId="1CEED76C">
            <w:pPr>
              <w:overflowPunct w:val="0"/>
              <w:topLinePunct/>
              <w:snapToGrid w:val="0"/>
              <w:jc w:val="center"/>
              <w:rPr>
                <w:rFonts w:ascii="Calibri" w:hAnsi="Calibri" w:eastAsia="宋体" w:cs="Times New Roman"/>
                <w:b/>
                <w:bCs/>
                <w:sz w:val="24"/>
                <w:highlight w:val="none"/>
              </w:rPr>
            </w:pPr>
            <w:r>
              <w:rPr>
                <w:rFonts w:ascii="Calibri" w:hAnsi="Calibri" w:eastAsia="宋体" w:cs="Times New Roman"/>
                <w:b/>
                <w:bCs/>
                <w:sz w:val="24"/>
                <w:highlight w:val="none"/>
              </w:rPr>
              <w:t>序号</w:t>
            </w:r>
          </w:p>
        </w:tc>
        <w:tc>
          <w:tcPr>
            <w:tcW w:w="1679" w:type="dxa"/>
            <w:vAlign w:val="center"/>
          </w:tcPr>
          <w:p w14:paraId="60CB452B">
            <w:pPr>
              <w:overflowPunct w:val="0"/>
              <w:topLinePunct/>
              <w:snapToGrid w:val="0"/>
              <w:jc w:val="center"/>
              <w:rPr>
                <w:rFonts w:ascii="Calibri" w:hAnsi="Calibri" w:eastAsia="宋体" w:cs="Times New Roman"/>
                <w:b/>
                <w:bCs/>
                <w:sz w:val="24"/>
                <w:highlight w:val="none"/>
              </w:rPr>
            </w:pPr>
            <w:r>
              <w:rPr>
                <w:rFonts w:ascii="Calibri" w:hAnsi="Calibri" w:eastAsia="宋体" w:cs="Times New Roman"/>
                <w:b/>
                <w:bCs/>
                <w:sz w:val="24"/>
                <w:highlight w:val="none"/>
                <w:lang w:bidi="ar"/>
              </w:rPr>
              <w:t>货物或服务名称</w:t>
            </w:r>
          </w:p>
        </w:tc>
        <w:tc>
          <w:tcPr>
            <w:tcW w:w="884" w:type="dxa"/>
            <w:vAlign w:val="center"/>
          </w:tcPr>
          <w:p w14:paraId="7BEAB0BE">
            <w:pPr>
              <w:overflowPunct w:val="0"/>
              <w:topLinePunct/>
              <w:snapToGrid w:val="0"/>
              <w:jc w:val="center"/>
              <w:rPr>
                <w:rFonts w:ascii="Calibri" w:hAnsi="Calibri" w:eastAsia="宋体" w:cs="Times New Roman"/>
                <w:b/>
                <w:bCs/>
                <w:sz w:val="24"/>
                <w:highlight w:val="none"/>
              </w:rPr>
            </w:pPr>
            <w:r>
              <w:rPr>
                <w:rFonts w:hint="eastAsia" w:ascii="Calibri" w:hAnsi="Calibri" w:eastAsia="宋体" w:cs="Times New Roman"/>
                <w:b/>
                <w:bCs/>
                <w:sz w:val="24"/>
                <w:highlight w:val="none"/>
              </w:rPr>
              <w:t>数量</w:t>
            </w:r>
          </w:p>
        </w:tc>
        <w:tc>
          <w:tcPr>
            <w:tcW w:w="1453" w:type="dxa"/>
            <w:vAlign w:val="center"/>
          </w:tcPr>
          <w:p w14:paraId="6C5B1A0E">
            <w:pPr>
              <w:overflowPunct w:val="0"/>
              <w:topLinePunct/>
              <w:snapToGrid w:val="0"/>
              <w:jc w:val="center"/>
              <w:rPr>
                <w:rFonts w:ascii="Calibri" w:hAnsi="Calibri" w:eastAsia="宋体" w:cs="Times New Roman"/>
                <w:b/>
                <w:bCs/>
                <w:sz w:val="24"/>
                <w:highlight w:val="none"/>
              </w:rPr>
            </w:pPr>
            <w:r>
              <w:rPr>
                <w:rFonts w:hint="eastAsia" w:ascii="Calibri" w:hAnsi="Calibri" w:eastAsia="宋体" w:cs="Times New Roman"/>
                <w:b/>
                <w:bCs/>
                <w:sz w:val="24"/>
                <w:highlight w:val="none"/>
              </w:rPr>
              <w:t>单位</w:t>
            </w:r>
          </w:p>
        </w:tc>
        <w:tc>
          <w:tcPr>
            <w:tcW w:w="2183" w:type="dxa"/>
            <w:vAlign w:val="center"/>
          </w:tcPr>
          <w:p w14:paraId="76765378">
            <w:pPr>
              <w:overflowPunct w:val="0"/>
              <w:topLinePunct/>
              <w:snapToGrid w:val="0"/>
              <w:jc w:val="center"/>
              <w:rPr>
                <w:rFonts w:ascii="Calibri" w:hAnsi="Calibri" w:eastAsia="宋体" w:cs="Times New Roman"/>
                <w:b/>
                <w:bCs/>
                <w:sz w:val="24"/>
                <w:highlight w:val="none"/>
              </w:rPr>
            </w:pPr>
            <w:r>
              <w:rPr>
                <w:rFonts w:ascii="Calibri" w:hAnsi="Calibri" w:eastAsia="宋体" w:cs="Times New Roman"/>
                <w:b/>
                <w:bCs/>
                <w:sz w:val="24"/>
                <w:highlight w:val="none"/>
              </w:rPr>
              <w:t>分项限价金额</w:t>
            </w:r>
          </w:p>
          <w:p w14:paraId="10FE2797">
            <w:pPr>
              <w:overflowPunct w:val="0"/>
              <w:topLinePunct/>
              <w:snapToGrid w:val="0"/>
              <w:jc w:val="center"/>
              <w:rPr>
                <w:rFonts w:ascii="Calibri" w:hAnsi="Calibri" w:eastAsia="宋体" w:cs="Times New Roman"/>
                <w:b/>
                <w:bCs/>
                <w:sz w:val="24"/>
                <w:highlight w:val="none"/>
              </w:rPr>
            </w:pPr>
            <w:r>
              <w:rPr>
                <w:rFonts w:ascii="Calibri" w:hAnsi="Calibri" w:eastAsia="宋体" w:cs="Times New Roman"/>
                <w:b/>
                <w:bCs/>
                <w:sz w:val="24"/>
                <w:highlight w:val="none"/>
              </w:rPr>
              <w:t>（万元）</w:t>
            </w:r>
          </w:p>
        </w:tc>
        <w:tc>
          <w:tcPr>
            <w:tcW w:w="1453" w:type="dxa"/>
            <w:vAlign w:val="center"/>
          </w:tcPr>
          <w:p w14:paraId="14B26EAF">
            <w:pPr>
              <w:overflowPunct w:val="0"/>
              <w:topLinePunct/>
              <w:snapToGrid w:val="0"/>
              <w:jc w:val="center"/>
              <w:rPr>
                <w:rFonts w:ascii="Calibri" w:hAnsi="Calibri" w:eastAsia="宋体" w:cs="Times New Roman"/>
                <w:b/>
                <w:bCs/>
                <w:sz w:val="24"/>
                <w:highlight w:val="none"/>
              </w:rPr>
            </w:pPr>
            <w:r>
              <w:rPr>
                <w:rFonts w:hint="eastAsia" w:ascii="Calibri" w:hAnsi="Calibri" w:eastAsia="宋体" w:cs="Times New Roman"/>
                <w:b/>
                <w:bCs/>
                <w:sz w:val="24"/>
                <w:highlight w:val="none"/>
              </w:rPr>
              <w:t>备注</w:t>
            </w:r>
          </w:p>
        </w:tc>
      </w:tr>
      <w:tr w14:paraId="319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vAlign w:val="center"/>
          </w:tcPr>
          <w:p w14:paraId="5F8FB8F0">
            <w:pPr>
              <w:overflowPunct w:val="0"/>
              <w:topLinePunct/>
              <w:snapToGrid w:val="0"/>
              <w:jc w:val="center"/>
              <w:rPr>
                <w:rFonts w:ascii="Calibri" w:hAnsi="Calibri" w:eastAsia="宋体" w:cs="Times New Roman"/>
                <w:sz w:val="24"/>
                <w:highlight w:val="none"/>
              </w:rPr>
            </w:pPr>
            <w:r>
              <w:rPr>
                <w:rFonts w:hint="eastAsia" w:ascii="Calibri" w:hAnsi="Calibri" w:eastAsia="宋体" w:cs="Times New Roman"/>
                <w:sz w:val="24"/>
                <w:highlight w:val="none"/>
              </w:rPr>
              <w:t>1</w:t>
            </w:r>
          </w:p>
        </w:tc>
        <w:tc>
          <w:tcPr>
            <w:tcW w:w="1679" w:type="dxa"/>
            <w:vAlign w:val="center"/>
          </w:tcPr>
          <w:p w14:paraId="09E62733">
            <w:pPr>
              <w:jc w:val="center"/>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GPU服务器1</w:t>
            </w:r>
          </w:p>
        </w:tc>
        <w:tc>
          <w:tcPr>
            <w:tcW w:w="884" w:type="dxa"/>
            <w:vAlign w:val="center"/>
          </w:tcPr>
          <w:p w14:paraId="0C32E1D5">
            <w:pPr>
              <w:overflowPunct w:val="0"/>
              <w:topLinePunct/>
              <w:snapToGrid w:val="0"/>
              <w:jc w:val="center"/>
              <w:rPr>
                <w:rFonts w:ascii="Calibri" w:hAnsi="Calibri" w:eastAsia="宋体" w:cs="Times New Roman"/>
                <w:sz w:val="24"/>
                <w:highlight w:val="none"/>
              </w:rPr>
            </w:pPr>
            <w:r>
              <w:rPr>
                <w:rFonts w:hint="eastAsia" w:ascii="Calibri" w:hAnsi="Calibri" w:eastAsia="宋体" w:cs="Times New Roman"/>
                <w:sz w:val="24"/>
                <w:highlight w:val="none"/>
              </w:rPr>
              <w:t>16</w:t>
            </w:r>
          </w:p>
        </w:tc>
        <w:tc>
          <w:tcPr>
            <w:tcW w:w="1453" w:type="dxa"/>
            <w:vAlign w:val="center"/>
          </w:tcPr>
          <w:p w14:paraId="2399D618">
            <w:pPr>
              <w:overflowPunct w:val="0"/>
              <w:topLinePunct/>
              <w:snapToGrid w:val="0"/>
              <w:jc w:val="center"/>
              <w:rPr>
                <w:rFonts w:ascii="Calibri" w:hAnsi="Calibri" w:eastAsia="宋体" w:cs="Times New Roman"/>
                <w:sz w:val="24"/>
                <w:highlight w:val="none"/>
              </w:rPr>
            </w:pPr>
            <w:r>
              <w:rPr>
                <w:rFonts w:hint="eastAsia" w:ascii="Calibri" w:hAnsi="Calibri" w:eastAsia="宋体" w:cs="Times New Roman"/>
                <w:sz w:val="24"/>
                <w:highlight w:val="none"/>
              </w:rPr>
              <w:t>台</w:t>
            </w:r>
          </w:p>
        </w:tc>
        <w:tc>
          <w:tcPr>
            <w:tcW w:w="2183" w:type="dxa"/>
            <w:vAlign w:val="center"/>
          </w:tcPr>
          <w:p w14:paraId="282ABF41">
            <w:pPr>
              <w:jc w:val="center"/>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1728</w:t>
            </w:r>
          </w:p>
        </w:tc>
        <w:tc>
          <w:tcPr>
            <w:tcW w:w="1453" w:type="dxa"/>
            <w:vAlign w:val="center"/>
          </w:tcPr>
          <w:p w14:paraId="71F3C48A">
            <w:pPr>
              <w:overflowPunct w:val="0"/>
              <w:topLinePunct/>
              <w:snapToGrid w:val="0"/>
              <w:jc w:val="center"/>
              <w:rPr>
                <w:rFonts w:ascii="Calibri" w:hAnsi="Calibri" w:eastAsia="宋体" w:cs="Times New Roman"/>
                <w:sz w:val="24"/>
                <w:highlight w:val="none"/>
              </w:rPr>
            </w:pPr>
            <w:r>
              <w:rPr>
                <w:rFonts w:ascii="Calibri" w:hAnsi="Calibri" w:eastAsia="宋体" w:cs="Times New Roman"/>
                <w:sz w:val="24"/>
                <w:highlight w:val="none"/>
              </w:rPr>
              <w:t>核心产品</w:t>
            </w:r>
          </w:p>
        </w:tc>
      </w:tr>
      <w:tr w14:paraId="68E5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vAlign w:val="center"/>
          </w:tcPr>
          <w:p w14:paraId="76FDFC99">
            <w:pPr>
              <w:overflowPunct w:val="0"/>
              <w:topLinePunct/>
              <w:snapToGrid w:val="0"/>
              <w:jc w:val="center"/>
              <w:rPr>
                <w:rFonts w:ascii="Calibri" w:hAnsi="Calibri" w:eastAsia="宋体" w:cs="Times New Roman"/>
                <w:sz w:val="24"/>
                <w:highlight w:val="none"/>
              </w:rPr>
            </w:pPr>
            <w:r>
              <w:rPr>
                <w:rFonts w:hint="eastAsia" w:ascii="Calibri" w:hAnsi="Calibri" w:eastAsia="宋体" w:cs="Times New Roman"/>
                <w:sz w:val="24"/>
                <w:highlight w:val="none"/>
              </w:rPr>
              <w:t>2</w:t>
            </w:r>
          </w:p>
        </w:tc>
        <w:tc>
          <w:tcPr>
            <w:tcW w:w="1679" w:type="dxa"/>
            <w:vAlign w:val="center"/>
          </w:tcPr>
          <w:p w14:paraId="0300E92C">
            <w:pPr>
              <w:jc w:val="center"/>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GPU服务器2</w:t>
            </w:r>
          </w:p>
        </w:tc>
        <w:tc>
          <w:tcPr>
            <w:tcW w:w="884" w:type="dxa"/>
            <w:vAlign w:val="center"/>
          </w:tcPr>
          <w:p w14:paraId="4DCEF7B5">
            <w:pPr>
              <w:overflowPunct w:val="0"/>
              <w:topLinePunct/>
              <w:snapToGrid w:val="0"/>
              <w:jc w:val="center"/>
              <w:rPr>
                <w:rFonts w:ascii="Calibri" w:hAnsi="Calibri" w:eastAsia="宋体" w:cs="Times New Roman"/>
                <w:sz w:val="24"/>
                <w:highlight w:val="none"/>
              </w:rPr>
            </w:pPr>
            <w:r>
              <w:rPr>
                <w:rFonts w:hint="eastAsia" w:ascii="Calibri" w:hAnsi="Calibri" w:eastAsia="宋体" w:cs="Times New Roman"/>
                <w:sz w:val="24"/>
                <w:highlight w:val="none"/>
              </w:rPr>
              <w:t>4</w:t>
            </w:r>
          </w:p>
        </w:tc>
        <w:tc>
          <w:tcPr>
            <w:tcW w:w="1453" w:type="dxa"/>
            <w:vAlign w:val="center"/>
          </w:tcPr>
          <w:p w14:paraId="5D2F419E">
            <w:pPr>
              <w:overflowPunct w:val="0"/>
              <w:topLinePunct/>
              <w:snapToGrid w:val="0"/>
              <w:jc w:val="center"/>
              <w:rPr>
                <w:rFonts w:ascii="Calibri" w:hAnsi="Calibri" w:eastAsia="宋体" w:cs="Times New Roman"/>
                <w:sz w:val="24"/>
                <w:highlight w:val="none"/>
              </w:rPr>
            </w:pPr>
            <w:r>
              <w:rPr>
                <w:rFonts w:hint="eastAsia" w:ascii="Calibri" w:hAnsi="Calibri" w:eastAsia="宋体" w:cs="Times New Roman"/>
                <w:sz w:val="24"/>
                <w:highlight w:val="none"/>
              </w:rPr>
              <w:t>台</w:t>
            </w:r>
          </w:p>
        </w:tc>
        <w:tc>
          <w:tcPr>
            <w:tcW w:w="2183" w:type="dxa"/>
            <w:vAlign w:val="center"/>
          </w:tcPr>
          <w:p w14:paraId="742D3A42">
            <w:pPr>
              <w:jc w:val="center"/>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804</w:t>
            </w:r>
          </w:p>
        </w:tc>
        <w:tc>
          <w:tcPr>
            <w:tcW w:w="1453" w:type="dxa"/>
            <w:vAlign w:val="center"/>
          </w:tcPr>
          <w:p w14:paraId="0D9598B7">
            <w:pPr>
              <w:overflowPunct w:val="0"/>
              <w:topLinePunct/>
              <w:snapToGrid w:val="0"/>
              <w:jc w:val="center"/>
              <w:rPr>
                <w:rFonts w:ascii="Calibri" w:hAnsi="Calibri" w:eastAsia="宋体" w:cs="Times New Roman"/>
                <w:sz w:val="24"/>
                <w:highlight w:val="none"/>
              </w:rPr>
            </w:pPr>
          </w:p>
        </w:tc>
      </w:tr>
      <w:tr w14:paraId="73B7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vAlign w:val="center"/>
          </w:tcPr>
          <w:p w14:paraId="312002C0">
            <w:pPr>
              <w:overflowPunct w:val="0"/>
              <w:topLinePunct/>
              <w:snapToGrid w:val="0"/>
              <w:jc w:val="center"/>
              <w:rPr>
                <w:rFonts w:ascii="Calibri" w:hAnsi="Calibri" w:eastAsia="宋体" w:cs="Times New Roman"/>
                <w:sz w:val="24"/>
                <w:highlight w:val="none"/>
              </w:rPr>
            </w:pPr>
            <w:r>
              <w:rPr>
                <w:rFonts w:hint="eastAsia" w:ascii="Calibri" w:hAnsi="Calibri" w:eastAsia="宋体" w:cs="Times New Roman"/>
                <w:sz w:val="24"/>
                <w:highlight w:val="none"/>
              </w:rPr>
              <w:t>3</w:t>
            </w:r>
          </w:p>
        </w:tc>
        <w:tc>
          <w:tcPr>
            <w:tcW w:w="1679" w:type="dxa"/>
            <w:vAlign w:val="center"/>
          </w:tcPr>
          <w:p w14:paraId="67199C34">
            <w:pPr>
              <w:jc w:val="center"/>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AI参数面交换机</w:t>
            </w:r>
          </w:p>
        </w:tc>
        <w:tc>
          <w:tcPr>
            <w:tcW w:w="884" w:type="dxa"/>
            <w:vAlign w:val="center"/>
          </w:tcPr>
          <w:p w14:paraId="4A42E982">
            <w:pPr>
              <w:overflowPunct w:val="0"/>
              <w:topLinePunct/>
              <w:snapToGrid w:val="0"/>
              <w:jc w:val="center"/>
              <w:rPr>
                <w:rFonts w:ascii="Calibri" w:hAnsi="Calibri" w:eastAsia="宋体" w:cs="Times New Roman"/>
                <w:sz w:val="24"/>
                <w:highlight w:val="none"/>
              </w:rPr>
            </w:pPr>
            <w:r>
              <w:rPr>
                <w:rFonts w:hint="eastAsia" w:ascii="Calibri" w:hAnsi="Calibri" w:eastAsia="宋体" w:cs="Times New Roman"/>
                <w:sz w:val="24"/>
                <w:highlight w:val="none"/>
              </w:rPr>
              <w:t>1</w:t>
            </w:r>
          </w:p>
        </w:tc>
        <w:tc>
          <w:tcPr>
            <w:tcW w:w="1453" w:type="dxa"/>
            <w:vAlign w:val="center"/>
          </w:tcPr>
          <w:p w14:paraId="23944FA9">
            <w:pPr>
              <w:overflowPunct w:val="0"/>
              <w:topLinePunct/>
              <w:snapToGrid w:val="0"/>
              <w:jc w:val="center"/>
              <w:rPr>
                <w:rFonts w:ascii="Calibri" w:hAnsi="Calibri" w:eastAsia="宋体" w:cs="Times New Roman"/>
                <w:sz w:val="24"/>
                <w:highlight w:val="none"/>
              </w:rPr>
            </w:pPr>
            <w:r>
              <w:rPr>
                <w:rFonts w:hint="eastAsia" w:ascii="Calibri" w:hAnsi="Calibri" w:eastAsia="宋体" w:cs="Times New Roman"/>
                <w:sz w:val="24"/>
                <w:highlight w:val="none"/>
              </w:rPr>
              <w:t>台</w:t>
            </w:r>
          </w:p>
        </w:tc>
        <w:tc>
          <w:tcPr>
            <w:tcW w:w="2183" w:type="dxa"/>
            <w:vAlign w:val="center"/>
          </w:tcPr>
          <w:p w14:paraId="0D12D6F8">
            <w:pPr>
              <w:jc w:val="center"/>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214</w:t>
            </w:r>
          </w:p>
        </w:tc>
        <w:tc>
          <w:tcPr>
            <w:tcW w:w="1453" w:type="dxa"/>
            <w:vAlign w:val="center"/>
          </w:tcPr>
          <w:p w14:paraId="25695725">
            <w:pPr>
              <w:overflowPunct w:val="0"/>
              <w:topLinePunct/>
              <w:snapToGrid w:val="0"/>
              <w:jc w:val="center"/>
              <w:rPr>
                <w:rFonts w:ascii="Calibri" w:hAnsi="Calibri" w:eastAsia="宋体" w:cs="Times New Roman"/>
                <w:sz w:val="24"/>
                <w:highlight w:val="none"/>
              </w:rPr>
            </w:pPr>
          </w:p>
        </w:tc>
      </w:tr>
      <w:tr w14:paraId="68F6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08" w:type="dxa"/>
            <w:gridSpan w:val="2"/>
            <w:vAlign w:val="center"/>
          </w:tcPr>
          <w:p w14:paraId="4E15EBFC">
            <w:pPr>
              <w:overflowPunct w:val="0"/>
              <w:topLinePunct/>
              <w:snapToGrid w:val="0"/>
              <w:jc w:val="center"/>
              <w:rPr>
                <w:rFonts w:ascii="Calibri" w:hAnsi="Calibri" w:eastAsia="宋体" w:cs="Times New Roman"/>
                <w:b/>
                <w:bCs/>
                <w:sz w:val="24"/>
                <w:highlight w:val="none"/>
              </w:rPr>
            </w:pPr>
            <w:r>
              <w:rPr>
                <w:rFonts w:ascii="Calibri" w:hAnsi="Calibri" w:eastAsia="宋体" w:cs="Times New Roman"/>
                <w:b/>
                <w:bCs/>
                <w:sz w:val="24"/>
                <w:highlight w:val="none"/>
              </w:rPr>
              <w:t>合计</w:t>
            </w:r>
          </w:p>
        </w:tc>
        <w:tc>
          <w:tcPr>
            <w:tcW w:w="884" w:type="dxa"/>
            <w:vAlign w:val="center"/>
          </w:tcPr>
          <w:p w14:paraId="3D67AEAB">
            <w:pPr>
              <w:overflowPunct w:val="0"/>
              <w:topLinePunct/>
              <w:snapToGrid w:val="0"/>
              <w:jc w:val="center"/>
              <w:rPr>
                <w:rFonts w:ascii="Calibri" w:hAnsi="Calibri" w:eastAsia="宋体" w:cs="Times New Roman"/>
                <w:sz w:val="24"/>
                <w:highlight w:val="none"/>
              </w:rPr>
            </w:pPr>
          </w:p>
        </w:tc>
        <w:tc>
          <w:tcPr>
            <w:tcW w:w="1453" w:type="dxa"/>
            <w:vAlign w:val="center"/>
          </w:tcPr>
          <w:p w14:paraId="139EF5DD">
            <w:pPr>
              <w:overflowPunct w:val="0"/>
              <w:topLinePunct/>
              <w:snapToGrid w:val="0"/>
              <w:rPr>
                <w:rFonts w:ascii="Calibri" w:hAnsi="Calibri" w:eastAsia="宋体" w:cs="Times New Roman"/>
                <w:sz w:val="24"/>
                <w:highlight w:val="none"/>
              </w:rPr>
            </w:pPr>
          </w:p>
        </w:tc>
        <w:tc>
          <w:tcPr>
            <w:tcW w:w="2183" w:type="dxa"/>
            <w:vAlign w:val="center"/>
          </w:tcPr>
          <w:p w14:paraId="27828DDC">
            <w:pPr>
              <w:overflowPunct w:val="0"/>
              <w:topLinePunct/>
              <w:snapToGrid w:val="0"/>
              <w:jc w:val="center"/>
              <w:rPr>
                <w:rFonts w:ascii="Calibri" w:hAnsi="Calibri" w:eastAsia="宋体" w:cs="Times New Roman"/>
                <w:sz w:val="24"/>
                <w:highlight w:val="none"/>
              </w:rPr>
            </w:pPr>
            <w:r>
              <w:rPr>
                <w:rFonts w:hint="eastAsia" w:ascii="Calibri" w:hAnsi="Calibri" w:eastAsia="宋体" w:cs="Times New Roman"/>
                <w:sz w:val="24"/>
                <w:highlight w:val="none"/>
              </w:rPr>
              <w:t>2746</w:t>
            </w:r>
          </w:p>
        </w:tc>
        <w:tc>
          <w:tcPr>
            <w:tcW w:w="1453" w:type="dxa"/>
            <w:vAlign w:val="center"/>
          </w:tcPr>
          <w:p w14:paraId="46764D70">
            <w:pPr>
              <w:overflowPunct w:val="0"/>
              <w:topLinePunct/>
              <w:snapToGrid w:val="0"/>
              <w:rPr>
                <w:rFonts w:ascii="Calibri" w:hAnsi="Calibri" w:eastAsia="宋体" w:cs="Times New Roman"/>
                <w:sz w:val="24"/>
                <w:highlight w:val="none"/>
              </w:rPr>
            </w:pPr>
          </w:p>
        </w:tc>
      </w:tr>
    </w:tbl>
    <w:p w14:paraId="694D76BB">
      <w:pPr>
        <w:ind w:firstLine="484" w:firstLineChars="202"/>
        <w:rPr>
          <w:rFonts w:ascii="宋体" w:hAnsi="宋体" w:eastAsia="宋体" w:cs="Times New Roman"/>
          <w:sz w:val="24"/>
          <w:highlight w:val="none"/>
        </w:rPr>
      </w:pPr>
    </w:p>
    <w:p w14:paraId="39324F13">
      <w:pPr>
        <w:ind w:firstLine="424" w:firstLineChars="202"/>
        <w:rPr>
          <w:rFonts w:ascii="宋体" w:hAnsi="宋体" w:eastAsia="宋体" w:cs="Times New Roman"/>
          <w:szCs w:val="21"/>
          <w:highlight w:val="none"/>
        </w:rPr>
      </w:pPr>
    </w:p>
    <w:p w14:paraId="5C468814">
      <w:pPr>
        <w:keepNext/>
        <w:numPr>
          <w:ilvl w:val="2"/>
          <w:numId w:val="2"/>
        </w:numPr>
        <w:spacing w:before="240" w:beforeLines="100" w:after="120" w:afterLines="50" w:line="360" w:lineRule="auto"/>
        <w:ind w:left="720"/>
        <w:outlineLvl w:val="2"/>
        <w:rPr>
          <w:rFonts w:ascii="宋体" w:hAnsi="宋体" w:eastAsia="宋体" w:cs="宋体"/>
          <w:b/>
          <w:kern w:val="2"/>
          <w:sz w:val="24"/>
          <w:szCs w:val="24"/>
          <w:highlight w:val="none"/>
          <w:lang w:val="en-US" w:eastAsia="zh-CN" w:bidi="ar-SA"/>
        </w:rPr>
      </w:pPr>
      <w:bookmarkStart w:id="4" w:name="_Toc20943"/>
      <w:r>
        <w:rPr>
          <w:rFonts w:hint="eastAsia" w:ascii="宋体" w:hAnsi="宋体" w:eastAsia="宋体" w:cs="宋体"/>
          <w:b/>
          <w:kern w:val="2"/>
          <w:sz w:val="24"/>
          <w:szCs w:val="24"/>
          <w:highlight w:val="none"/>
          <w:lang w:val="en-US" w:eastAsia="zh-CN" w:bidi="ar-SA"/>
        </w:rPr>
        <w:t>项目背景/项目概述</w:t>
      </w:r>
      <w:bookmarkEnd w:id="4"/>
    </w:p>
    <w:p w14:paraId="386D24C3">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为贯彻落实国家关于发展数字经济、建设数字中国的战略部署，推动城市治理体系和治理能力现代化，通过采购高性能G</w:t>
      </w:r>
      <w:r>
        <w:rPr>
          <w:rFonts w:ascii="宋体" w:hAnsi="宋体" w:eastAsia="宋体" w:cs="宋体"/>
          <w:sz w:val="24"/>
          <w:highlight w:val="none"/>
        </w:rPr>
        <w:t>PU</w:t>
      </w:r>
      <w:r>
        <w:rPr>
          <w:rFonts w:hint="eastAsia" w:ascii="宋体" w:hAnsi="宋体" w:eastAsia="宋体" w:cs="宋体"/>
          <w:sz w:val="24"/>
          <w:highlight w:val="none"/>
        </w:rPr>
        <w:t>服务器及AI参数面交换机，构建智能算力底座，为我市智慧城市底座应用的智能化升级提供支撑。</w:t>
      </w:r>
    </w:p>
    <w:p w14:paraId="769C1A2B">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前期，采购人通过“北京市政务云算扩容项目开发集成与通用算力购置部分”项目，已经采购了智能算力虚拟化软件（算力平台（BMCP）智算）和AI支撑管理平台（百炼专属版），对本次采购的算力资源进行调度管理，满足智能应用需要，因此本项目采购的G</w:t>
      </w:r>
      <w:r>
        <w:rPr>
          <w:rFonts w:ascii="宋体" w:hAnsi="宋体" w:eastAsia="宋体" w:cs="宋体"/>
          <w:sz w:val="24"/>
          <w:highlight w:val="none"/>
        </w:rPr>
        <w:t>PU服务器</w:t>
      </w:r>
      <w:r>
        <w:rPr>
          <w:rFonts w:hint="eastAsia" w:ascii="宋体" w:hAnsi="宋体" w:eastAsia="宋体" w:cs="宋体"/>
          <w:sz w:val="24"/>
          <w:highlight w:val="none"/>
        </w:rPr>
        <w:t>需接受统一纳管。</w:t>
      </w:r>
      <w:bookmarkEnd w:id="1"/>
    </w:p>
    <w:p w14:paraId="615E93D6">
      <w:pPr>
        <w:keepNext/>
        <w:numPr>
          <w:ilvl w:val="1"/>
          <w:numId w:val="1"/>
        </w:numPr>
        <w:spacing w:before="240" w:beforeLines="100" w:after="120" w:afterLines="50" w:line="360" w:lineRule="auto"/>
        <w:ind w:left="567"/>
        <w:outlineLvl w:val="1"/>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商务要求</w:t>
      </w:r>
      <w:bookmarkEnd w:id="2"/>
    </w:p>
    <w:p w14:paraId="7E1559AE">
      <w:pPr>
        <w:keepNext/>
        <w:numPr>
          <w:ilvl w:val="2"/>
          <w:numId w:val="1"/>
        </w:numPr>
        <w:spacing w:before="240" w:beforeLines="100" w:after="120" w:afterLines="50" w:line="360" w:lineRule="auto"/>
        <w:ind w:left="720"/>
        <w:outlineLvl w:val="2"/>
        <w:rPr>
          <w:rFonts w:ascii="宋体" w:hAnsi="宋体" w:eastAsia="宋体" w:cs="宋体"/>
          <w:b/>
          <w:kern w:val="2"/>
          <w:sz w:val="24"/>
          <w:szCs w:val="24"/>
          <w:highlight w:val="none"/>
          <w:lang w:val="en-US" w:eastAsia="zh-CN" w:bidi="ar-SA"/>
        </w:rPr>
      </w:pPr>
      <w:bookmarkStart w:id="5" w:name="_Toc7418"/>
      <w:r>
        <w:rPr>
          <w:rFonts w:hint="eastAsia" w:ascii="宋体" w:hAnsi="宋体" w:eastAsia="宋体" w:cs="宋体"/>
          <w:b/>
          <w:kern w:val="2"/>
          <w:sz w:val="24"/>
          <w:szCs w:val="24"/>
          <w:highlight w:val="none"/>
          <w:lang w:val="en-US" w:eastAsia="zh-CN" w:bidi="ar-SA"/>
        </w:rPr>
        <w:t>交付（实施）的时间（期限）和地点（范围）</w:t>
      </w:r>
      <w:bookmarkEnd w:id="5"/>
    </w:p>
    <w:p w14:paraId="5B02FD4D">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交付时间：自合同签订之日起至中标人完成本合同项下全部义务之日止。合同签订后</w:t>
      </w:r>
      <w:r>
        <w:rPr>
          <w:rFonts w:ascii="宋体" w:hAnsi="宋体" w:eastAsia="宋体" w:cs="宋体"/>
          <w:sz w:val="24"/>
          <w:highlight w:val="none"/>
        </w:rPr>
        <w:t>1</w:t>
      </w:r>
      <w:r>
        <w:rPr>
          <w:rFonts w:hint="eastAsia" w:ascii="宋体" w:hAnsi="宋体" w:eastAsia="宋体" w:cs="宋体"/>
          <w:sz w:val="24"/>
          <w:highlight w:val="none"/>
        </w:rPr>
        <w:t>个月完成到货，</w:t>
      </w:r>
      <w:r>
        <w:rPr>
          <w:rFonts w:ascii="宋体" w:hAnsi="宋体" w:eastAsia="宋体" w:cs="宋体"/>
          <w:sz w:val="24"/>
          <w:highlight w:val="none"/>
        </w:rPr>
        <w:t>3</w:t>
      </w:r>
      <w:r>
        <w:rPr>
          <w:rFonts w:hint="eastAsia" w:ascii="宋体" w:hAnsi="宋体" w:eastAsia="宋体" w:cs="宋体"/>
          <w:sz w:val="24"/>
          <w:highlight w:val="none"/>
        </w:rPr>
        <w:t>个月内完成产品的安装调试</w:t>
      </w:r>
      <w:r>
        <w:rPr>
          <w:rFonts w:ascii="宋体" w:hAnsi="宋体" w:eastAsia="宋体" w:cs="宋体"/>
          <w:sz w:val="24"/>
          <w:highlight w:val="none"/>
        </w:rPr>
        <w:t>。</w:t>
      </w:r>
      <w:r>
        <w:rPr>
          <w:rFonts w:hint="eastAsia" w:ascii="Times New Roman" w:hAnsi="Times New Roman" w:eastAsia="宋体" w:cs="Times New Roman"/>
          <w:sz w:val="24"/>
          <w:highlight w:val="none"/>
        </w:rPr>
        <w:t>除非采购人另行通知，否则前述期限即为供货、安装调试完成时间。</w:t>
      </w:r>
      <w:r>
        <w:rPr>
          <w:rFonts w:hint="eastAsia" w:ascii="宋体" w:hAnsi="宋体" w:eastAsia="宋体" w:cs="宋体"/>
          <w:sz w:val="24"/>
          <w:highlight w:val="none"/>
        </w:rPr>
        <w:t>。</w:t>
      </w:r>
    </w:p>
    <w:p w14:paraId="195C6A75">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交付地点为：采购人指定北京市范围内地点。</w:t>
      </w:r>
    </w:p>
    <w:p w14:paraId="7C9820F2">
      <w:pPr>
        <w:keepNext/>
        <w:numPr>
          <w:ilvl w:val="2"/>
          <w:numId w:val="1"/>
        </w:numPr>
        <w:spacing w:before="240" w:beforeLines="100" w:after="120" w:afterLines="50" w:line="360" w:lineRule="auto"/>
        <w:ind w:left="720"/>
        <w:outlineLvl w:val="2"/>
        <w:rPr>
          <w:rFonts w:ascii="宋体" w:hAnsi="宋体" w:eastAsia="宋体" w:cs="宋体"/>
          <w:b/>
          <w:kern w:val="2"/>
          <w:sz w:val="24"/>
          <w:szCs w:val="24"/>
          <w:highlight w:val="none"/>
          <w:lang w:val="en-US" w:eastAsia="zh-CN" w:bidi="ar-SA"/>
        </w:rPr>
      </w:pPr>
      <w:bookmarkStart w:id="6" w:name="_Toc15773"/>
      <w:r>
        <w:rPr>
          <w:rFonts w:hint="eastAsia" w:ascii="宋体" w:hAnsi="宋体" w:eastAsia="宋体" w:cs="宋体"/>
          <w:b/>
          <w:kern w:val="2"/>
          <w:sz w:val="24"/>
          <w:szCs w:val="24"/>
          <w:highlight w:val="none"/>
          <w:lang w:val="en-US" w:eastAsia="zh-CN" w:bidi="ar-SA"/>
        </w:rPr>
        <w:t>付款条件（进度和方式）</w:t>
      </w:r>
      <w:bookmarkEnd w:id="6"/>
    </w:p>
    <w:p w14:paraId="3FF7AFF1">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投标人中标后，采购人计划分四笔支付相关费用：</w:t>
      </w:r>
    </w:p>
    <w:p w14:paraId="1A38118B">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（1）合同签署后，自收到中标人提供的符合要求的发票且财政资金到达中心账户并可实际使用之日起10个工作日内，向中标人支付合同总金额30%的款项；</w:t>
      </w:r>
    </w:p>
    <w:p w14:paraId="6D22A5D1">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（2）货物质量验收合格后，自收到中标人提供的符合要求的发票且财政资金到达中心账户并可实际使用之日起10个工作日内，向中标人支付合同总金额3</w:t>
      </w:r>
      <w:r>
        <w:rPr>
          <w:rFonts w:ascii="宋体" w:hAnsi="宋体" w:eastAsia="宋体" w:cs="宋体"/>
          <w:sz w:val="24"/>
          <w:highlight w:val="none"/>
        </w:rPr>
        <w:t>5</w:t>
      </w:r>
      <w:r>
        <w:rPr>
          <w:rFonts w:hint="eastAsia" w:ascii="宋体" w:hAnsi="宋体" w:eastAsia="宋体" w:cs="宋体"/>
          <w:sz w:val="24"/>
          <w:highlight w:val="none"/>
        </w:rPr>
        <w:t>%的款项；</w:t>
      </w:r>
    </w:p>
    <w:p w14:paraId="2A376E6C">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（3）项目初验后，自收到中标人提供的符合要求的发票且财政资金到达中心账户并可实际使用之日起10个工作日内，向中标人支付合同总金额10%的款项；</w:t>
      </w:r>
    </w:p>
    <w:p w14:paraId="77E4C991">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4）最终决算完成后，按照实际决算中确认的本项目金额进行最终结算，若采购人已付款少于结算金额的，采购人自收到中标人提供的符合要求的发票且财政资金到达中心账户并可实际使用之日起10个工作日内，向中标人支付合同剩余款项；若采购人已付款超过结算金额的，则中标人自收到采购人结算金额通知之日起7个工作日内，将超付款项退回采购人。</w:t>
      </w:r>
    </w:p>
    <w:p w14:paraId="51C759BA">
      <w:pPr>
        <w:keepNext/>
        <w:numPr>
          <w:ilvl w:val="2"/>
          <w:numId w:val="1"/>
        </w:numPr>
        <w:spacing w:before="240" w:beforeLines="100" w:after="120" w:afterLines="50" w:line="360" w:lineRule="auto"/>
        <w:ind w:left="720"/>
        <w:outlineLvl w:val="2"/>
        <w:rPr>
          <w:rFonts w:ascii="宋体" w:hAnsi="宋体" w:eastAsia="宋体" w:cs="宋体"/>
          <w:b/>
          <w:kern w:val="2"/>
          <w:sz w:val="24"/>
          <w:szCs w:val="24"/>
          <w:highlight w:val="none"/>
          <w:lang w:val="en-US" w:eastAsia="zh-CN" w:bidi="ar-SA"/>
        </w:rPr>
      </w:pPr>
      <w:bookmarkStart w:id="7" w:name="_Toc27231"/>
      <w:r>
        <w:rPr>
          <w:rFonts w:hint="eastAsia" w:ascii="宋体" w:hAnsi="宋体" w:eastAsia="宋体" w:cs="宋体"/>
          <w:b/>
          <w:kern w:val="2"/>
          <w:sz w:val="24"/>
          <w:szCs w:val="24"/>
          <w:highlight w:val="none"/>
          <w:lang w:val="en-US" w:eastAsia="zh-CN" w:bidi="ar-SA"/>
        </w:rPr>
        <w:t>包装和运输</w:t>
      </w:r>
      <w:bookmarkEnd w:id="7"/>
    </w:p>
    <w:p w14:paraId="7FCB93E9">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按照《关于印发《商品包装政府采购需求标准（试行）》、《快递包装政府采购需求标准（试行）》的通知》（财办库〔2020〕123号）文件要求执行。</w:t>
      </w:r>
    </w:p>
    <w:p w14:paraId="1D10D0C6">
      <w:pPr>
        <w:keepNext/>
        <w:numPr>
          <w:ilvl w:val="2"/>
          <w:numId w:val="1"/>
        </w:numPr>
        <w:spacing w:before="240" w:beforeLines="100" w:after="120" w:afterLines="50" w:line="360" w:lineRule="auto"/>
        <w:ind w:left="720"/>
        <w:outlineLvl w:val="2"/>
        <w:rPr>
          <w:rFonts w:ascii="宋体" w:hAnsi="宋体" w:eastAsia="宋体" w:cs="宋体"/>
          <w:b/>
          <w:kern w:val="2"/>
          <w:sz w:val="24"/>
          <w:szCs w:val="24"/>
          <w:highlight w:val="none"/>
          <w:lang w:val="en-US" w:eastAsia="zh-CN" w:bidi="ar-SA"/>
        </w:rPr>
      </w:pPr>
      <w:bookmarkStart w:id="8" w:name="_Toc23302"/>
      <w:r>
        <w:rPr>
          <w:rFonts w:hint="eastAsia" w:ascii="宋体" w:hAnsi="宋体" w:eastAsia="宋体" w:cs="宋体"/>
          <w:b/>
          <w:kern w:val="2"/>
          <w:sz w:val="24"/>
          <w:szCs w:val="24"/>
          <w:highlight w:val="none"/>
          <w:lang w:val="en-US" w:eastAsia="zh-CN" w:bidi="ar-SA"/>
        </w:rPr>
        <w:t>售后服务（质保期）</w:t>
      </w:r>
      <w:bookmarkEnd w:id="8"/>
    </w:p>
    <w:p w14:paraId="0AD78244">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（一）质保期</w:t>
      </w:r>
    </w:p>
    <w:p w14:paraId="5CA8371C">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★针对所有硬件产品，</w:t>
      </w:r>
      <w:r>
        <w:rPr>
          <w:rFonts w:hint="eastAsia" w:ascii="宋体" w:hAnsi="宋体" w:eastAsia="宋体" w:cs="宋体"/>
          <w:b/>
          <w:bCs/>
          <w:sz w:val="24"/>
          <w:highlight w:val="none"/>
        </w:rPr>
        <w:t>投标人需提供自货物质量验收合格之日起3年</w:t>
      </w:r>
      <w:r>
        <w:rPr>
          <w:rFonts w:hint="eastAsia" w:ascii="宋体" w:hAnsi="宋体" w:eastAsia="宋体" w:cs="宋体"/>
          <w:b/>
          <w:bCs/>
          <w:sz w:val="24"/>
          <w:highlight w:val="none"/>
          <w:lang w:bidi="ar"/>
        </w:rPr>
        <w:t>原厂</w:t>
      </w:r>
      <w:r>
        <w:rPr>
          <w:rFonts w:hint="eastAsia" w:ascii="宋体" w:hAnsi="宋体" w:eastAsia="宋体" w:cs="宋体"/>
          <w:b/>
          <w:bCs/>
          <w:sz w:val="24"/>
          <w:highlight w:val="none"/>
        </w:rPr>
        <w:t>质保服务，质保期内，如出现非人为及不可抗力因素造成的质量问题，投标人负责维修或更换（所涉及费用包含在投标报价中），提供承诺函并加盖投标人公章。</w:t>
      </w:r>
    </w:p>
    <w:p w14:paraId="12777E93">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（二）技术服务</w:t>
      </w:r>
    </w:p>
    <w:p w14:paraId="159598C5">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投标人能够通过电话、邮件、现场服务等各种方式对采购人提供技术支持。</w:t>
      </w:r>
    </w:p>
    <w:p w14:paraId="798404D0">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（三）质保期内售后服务保障</w:t>
      </w:r>
    </w:p>
    <w:p w14:paraId="30186F02">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投标人在投标文件中必须明确承诺达到采购人的服务响应要求：</w:t>
      </w:r>
    </w:p>
    <w:p w14:paraId="0D3285C8">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（1）提供7×24小时电话支持服务；</w:t>
      </w:r>
    </w:p>
    <w:p w14:paraId="77E0C578">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（2）在质保期内</w:t>
      </w:r>
      <w:r>
        <w:rPr>
          <w:rFonts w:hint="eastAsia" w:ascii="宋体" w:hAnsi="宋体" w:eastAsia="宋体" w:cs="宋体"/>
          <w:bCs/>
          <w:sz w:val="24"/>
          <w:highlight w:val="none"/>
        </w:rPr>
        <w:t>根据合同约定，如出现问题，在收到通知后10分钟内响应，平均故障解决时间不超过2小时；不能当场修复的，必须在约定时间内采取提供备品、备件或备机等措施，以保证正常使用</w:t>
      </w:r>
      <w:r>
        <w:rPr>
          <w:rFonts w:hint="eastAsia" w:ascii="宋体" w:hAnsi="宋体" w:eastAsia="宋体" w:cs="宋体"/>
          <w:sz w:val="24"/>
          <w:highlight w:val="none"/>
        </w:rPr>
        <w:t>；必要时将派遣技术专家前往现场进行故障处理，并在故障处理完毕后出具报告；</w:t>
      </w:r>
    </w:p>
    <w:p w14:paraId="527A91FB">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（3）投标人负责质保期内设备维修所产生的全部费用。</w:t>
      </w:r>
    </w:p>
    <w:p w14:paraId="2326966B">
      <w:pPr>
        <w:keepNext/>
        <w:numPr>
          <w:ilvl w:val="1"/>
          <w:numId w:val="1"/>
        </w:numPr>
        <w:spacing w:before="240" w:beforeLines="100" w:after="120" w:afterLines="50" w:line="360" w:lineRule="auto"/>
        <w:ind w:left="567"/>
        <w:outlineLvl w:val="1"/>
        <w:rPr>
          <w:rFonts w:ascii="宋体" w:hAnsi="宋体" w:eastAsia="宋体" w:cs="宋体"/>
          <w:b/>
          <w:kern w:val="2"/>
          <w:sz w:val="24"/>
          <w:szCs w:val="24"/>
          <w:highlight w:val="none"/>
          <w:lang w:val="en-US" w:eastAsia="zh-CN" w:bidi="ar-SA"/>
        </w:rPr>
      </w:pPr>
      <w:bookmarkStart w:id="9" w:name="_Toc31614"/>
      <w:r>
        <w:rPr>
          <w:rFonts w:hint="eastAsia" w:ascii="宋体" w:hAnsi="宋体" w:eastAsia="宋体" w:cs="宋体"/>
          <w:b/>
          <w:kern w:val="2"/>
          <w:sz w:val="24"/>
          <w:szCs w:val="24"/>
          <w:highlight w:val="none"/>
          <w:lang w:val="en-US" w:eastAsia="zh-CN" w:bidi="ar-SA"/>
        </w:rPr>
        <w:t>技术要求</w:t>
      </w:r>
      <w:bookmarkEnd w:id="9"/>
    </w:p>
    <w:p w14:paraId="15E285BB">
      <w:pPr>
        <w:keepNext/>
        <w:numPr>
          <w:ilvl w:val="2"/>
          <w:numId w:val="1"/>
        </w:numPr>
        <w:spacing w:before="240" w:beforeLines="100" w:after="120" w:afterLines="50" w:line="360" w:lineRule="auto"/>
        <w:ind w:left="720"/>
        <w:outlineLvl w:val="2"/>
        <w:rPr>
          <w:rFonts w:ascii="宋体" w:hAnsi="宋体" w:eastAsia="宋体" w:cs="宋体"/>
          <w:b/>
          <w:kern w:val="2"/>
          <w:sz w:val="24"/>
          <w:szCs w:val="24"/>
          <w:highlight w:val="none"/>
          <w:lang w:val="en-US" w:eastAsia="zh-CN" w:bidi="ar-SA"/>
        </w:rPr>
      </w:pPr>
      <w:bookmarkStart w:id="10" w:name="_Toc32066"/>
      <w:r>
        <w:rPr>
          <w:rFonts w:hint="eastAsia" w:ascii="宋体" w:hAnsi="宋体" w:eastAsia="宋体" w:cs="宋体"/>
          <w:b/>
          <w:kern w:val="2"/>
          <w:sz w:val="24"/>
          <w:szCs w:val="24"/>
          <w:highlight w:val="none"/>
          <w:lang w:val="en-US" w:eastAsia="zh-CN" w:bidi="ar-SA"/>
        </w:rPr>
        <w:t>基本要求</w:t>
      </w:r>
      <w:bookmarkEnd w:id="10"/>
    </w:p>
    <w:p w14:paraId="431E9DBA">
      <w:pPr>
        <w:keepNext/>
        <w:numPr>
          <w:ilvl w:val="3"/>
          <w:numId w:val="1"/>
        </w:numPr>
        <w:spacing w:before="240" w:beforeLines="100" w:after="120" w:afterLines="50" w:line="360" w:lineRule="auto"/>
        <w:ind w:left="720" w:hanging="720"/>
        <w:outlineLvl w:val="3"/>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采购标的需实现的功能或目标</w:t>
      </w:r>
    </w:p>
    <w:p w14:paraId="5105B283">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★提供承诺函并加盖投标人公章，内容为：在政务外网区，新增不少于40PFLOPS（</w:t>
      </w:r>
      <w:r>
        <w:rPr>
          <w:rFonts w:ascii="宋体" w:hAnsi="宋体" w:eastAsia="宋体" w:cs="宋体"/>
          <w:sz w:val="24"/>
          <w:highlight w:val="none"/>
        </w:rPr>
        <w:t>FP16半精度浮点运算能力）</w:t>
      </w:r>
      <w:r>
        <w:rPr>
          <w:rFonts w:hint="eastAsia" w:ascii="宋体" w:hAnsi="宋体" w:eastAsia="宋体" w:cs="宋体"/>
          <w:sz w:val="24"/>
          <w:highlight w:val="none"/>
        </w:rPr>
        <w:t>政务AI算力资源，满足政务领域大模型创新应用需求。</w:t>
      </w:r>
    </w:p>
    <w:p w14:paraId="3C180AFA">
      <w:pPr>
        <w:keepNext/>
        <w:numPr>
          <w:ilvl w:val="3"/>
          <w:numId w:val="1"/>
        </w:numPr>
        <w:spacing w:before="240" w:beforeLines="100" w:after="120" w:afterLines="50" w:line="360" w:lineRule="auto"/>
        <w:ind w:left="720" w:hanging="720"/>
        <w:outlineLvl w:val="3"/>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需执行的国家相关标准、行业标准、地方标准或者其他标准、规范</w:t>
      </w:r>
    </w:p>
    <w:p w14:paraId="4B2B9ED8">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《信息安全技术网络安全等级保护定级指南》（GB/T 22240-2020）</w:t>
      </w:r>
    </w:p>
    <w:p w14:paraId="264DC221">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《信息安全技术网络安全等级保护基本要求》（GB/T 22239-2019）</w:t>
      </w:r>
    </w:p>
    <w:p w14:paraId="217F9837">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《信息安全技术网络安全等级保护测评要求》（GB/T 28448-2019）</w:t>
      </w:r>
    </w:p>
    <w:p w14:paraId="674CEE7E">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《信息安全技术网络安全等级保护安全设计技术要求》（GB/T 25070-2019）</w:t>
      </w:r>
    </w:p>
    <w:p w14:paraId="15C4EEB3">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《信息技术云计算参考架构》（GB/T32399-2015）</w:t>
      </w:r>
    </w:p>
    <w:p w14:paraId="47D7A481">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《信息技术云数据存储和管理》（GB/T31916-2015）</w:t>
      </w:r>
    </w:p>
    <w:p w14:paraId="350D0899">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《信息安全技术云计算服务安全能力要求》（GB/T 31168-2023）</w:t>
      </w:r>
    </w:p>
    <w:p w14:paraId="37FFDE4E">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《信息安全技术云计算服务安全指南》（GB/T 31167-2023）</w:t>
      </w:r>
    </w:p>
    <w:p w14:paraId="12D3EE34">
      <w:pPr>
        <w:keepNext/>
        <w:numPr>
          <w:ilvl w:val="2"/>
          <w:numId w:val="1"/>
        </w:numPr>
        <w:spacing w:before="240" w:beforeLines="100" w:after="120" w:afterLines="50" w:line="360" w:lineRule="auto"/>
        <w:ind w:left="720"/>
        <w:outlineLvl w:val="2"/>
        <w:rPr>
          <w:rFonts w:ascii="宋体" w:hAnsi="宋体" w:eastAsia="宋体" w:cs="宋体"/>
          <w:b/>
          <w:kern w:val="2"/>
          <w:sz w:val="24"/>
          <w:szCs w:val="24"/>
          <w:highlight w:val="none"/>
          <w:lang w:val="en-US" w:eastAsia="zh-CN" w:bidi="ar-SA"/>
        </w:rPr>
      </w:pPr>
      <w:bookmarkStart w:id="11" w:name="_Toc24353"/>
      <w:r>
        <w:rPr>
          <w:rFonts w:hint="eastAsia" w:ascii="宋体" w:hAnsi="宋体" w:eastAsia="宋体" w:cs="宋体"/>
          <w:b/>
          <w:kern w:val="2"/>
          <w:sz w:val="24"/>
          <w:szCs w:val="24"/>
          <w:highlight w:val="none"/>
          <w:lang w:val="en-US" w:eastAsia="zh-CN" w:bidi="ar-SA"/>
        </w:rPr>
        <w:t>服务内容及要求/货物技术要求</w:t>
      </w:r>
      <w:bookmarkEnd w:id="11"/>
    </w:p>
    <w:p w14:paraId="6970EF82">
      <w:pPr>
        <w:keepNext/>
        <w:numPr>
          <w:ilvl w:val="3"/>
          <w:numId w:val="1"/>
        </w:numPr>
        <w:spacing w:before="240" w:beforeLines="100" w:after="120" w:afterLines="50" w:line="360" w:lineRule="auto"/>
        <w:ind w:left="720" w:hanging="720"/>
        <w:outlineLvl w:val="3"/>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采购标的需满足的性能、材料、结构、外观、质量、安全、技术规格、物理特性等要求</w:t>
      </w:r>
    </w:p>
    <w:p w14:paraId="56A68D4F">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投标人提供的产品需满足业务对IPv4/IPv6的需求。设备中服务器发生硬盘损坏或更换的，更换下的硬盘需交由采购人统一处置。</w:t>
      </w:r>
    </w:p>
    <w:p w14:paraId="2E3B0CB8">
      <w:pPr>
        <w:keepNext/>
        <w:numPr>
          <w:ilvl w:val="4"/>
          <w:numId w:val="1"/>
        </w:numPr>
        <w:spacing w:before="240" w:beforeLines="100" w:after="120" w:afterLines="50" w:line="360" w:lineRule="auto"/>
        <w:ind w:left="640" w:hanging="640"/>
        <w:outlineLvl w:val="4"/>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服务器技术指标要求</w:t>
      </w:r>
    </w:p>
    <w:p w14:paraId="3DF8F215">
      <w:pPr>
        <w:keepNext/>
        <w:numPr>
          <w:ilvl w:val="5"/>
          <w:numId w:val="1"/>
        </w:numPr>
        <w:spacing w:before="240" w:beforeLines="100" w:after="120" w:afterLines="50" w:line="360" w:lineRule="auto"/>
        <w:ind w:left="640" w:hanging="640"/>
        <w:outlineLvl w:val="5"/>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服务器通用参数</w:t>
      </w:r>
    </w:p>
    <w:p w14:paraId="22FCE0CD">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所有服务器其他未列参数按照财政部《通用服务器政府采购需求标准（2023年版）》*项指标要求满足。提供投标人承诺函并加盖公章，承诺函内容:所投产品满足《通用服务器政府采购需求标准（2023年版）》中的“*”项指标参数的要求。否则作无效投标处理。</w:t>
      </w:r>
    </w:p>
    <w:p w14:paraId="1B0E93C2">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★指标要求中如有“供应商承诺.....”，“供应商提供供应链稳定承诺书.....”的表述要求的，投标人提供承诺书并加盖投标人公章。</w:t>
      </w:r>
    </w:p>
    <w:p w14:paraId="51A59A7D">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所有服务器均符合《通用服务器政府采购需求标准（2023版）》要求。指标要求中如有“供应商给出......”等表述要求的，请投标人明确提供响应具体内容。</w:t>
      </w:r>
    </w:p>
    <w:p w14:paraId="4F96C6ED">
      <w:pPr>
        <w:spacing w:line="360" w:lineRule="auto"/>
        <w:ind w:firstLine="480" w:firstLineChars="200"/>
        <w:contextualSpacing/>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★注：投标人须提供所投产品CPU的安全可靠测评结果公告截图，否则作无效投标处理。</w:t>
      </w:r>
    </w:p>
    <w:p w14:paraId="045A8039">
      <w:pPr>
        <w:spacing w:line="360" w:lineRule="auto"/>
        <w:ind w:firstLine="480" w:firstLineChars="200"/>
        <w:contextualSpacing/>
        <w:rPr>
          <w:rFonts w:ascii="宋体" w:hAnsi="宋体" w:eastAsia="宋体" w:cs="宋体"/>
          <w:sz w:val="24"/>
          <w:highlight w:val="none"/>
        </w:rPr>
      </w:pPr>
    </w:p>
    <w:tbl>
      <w:tblPr>
        <w:tblStyle w:val="2"/>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933"/>
        <w:gridCol w:w="950"/>
        <w:gridCol w:w="1656"/>
        <w:gridCol w:w="3790"/>
        <w:gridCol w:w="1657"/>
      </w:tblGrid>
      <w:tr w14:paraId="5C61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580FC471">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序号</w:t>
            </w:r>
          </w:p>
        </w:tc>
        <w:tc>
          <w:tcPr>
            <w:tcW w:w="933" w:type="dxa"/>
            <w:vAlign w:val="center"/>
          </w:tcPr>
          <w:p w14:paraId="5C7AA90A">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指标分类</w:t>
            </w:r>
          </w:p>
        </w:tc>
        <w:tc>
          <w:tcPr>
            <w:tcW w:w="950" w:type="dxa"/>
            <w:vAlign w:val="center"/>
          </w:tcPr>
          <w:p w14:paraId="46DDE2EE">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一级指标</w:t>
            </w:r>
          </w:p>
        </w:tc>
        <w:tc>
          <w:tcPr>
            <w:tcW w:w="1656" w:type="dxa"/>
            <w:vAlign w:val="center"/>
          </w:tcPr>
          <w:p w14:paraId="26CDB40A">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二级指标</w:t>
            </w:r>
          </w:p>
        </w:tc>
        <w:tc>
          <w:tcPr>
            <w:tcW w:w="3790" w:type="dxa"/>
            <w:vAlign w:val="center"/>
          </w:tcPr>
          <w:p w14:paraId="2041135C">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指标要求</w:t>
            </w:r>
          </w:p>
        </w:tc>
        <w:tc>
          <w:tcPr>
            <w:tcW w:w="1657" w:type="dxa"/>
            <w:noWrap/>
            <w:vAlign w:val="center"/>
          </w:tcPr>
          <w:p w14:paraId="62569464">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证明材料提供</w:t>
            </w:r>
          </w:p>
        </w:tc>
      </w:tr>
      <w:tr w14:paraId="4011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7" w:type="dxa"/>
            <w:vAlign w:val="center"/>
          </w:tcPr>
          <w:p w14:paraId="57D6C112">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933" w:type="dxa"/>
            <w:vAlign w:val="center"/>
          </w:tcPr>
          <w:p w14:paraId="2BF4F009">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Align w:val="center"/>
          </w:tcPr>
          <w:p w14:paraId="7527A69B">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CPU规格</w:t>
            </w:r>
          </w:p>
        </w:tc>
        <w:tc>
          <w:tcPr>
            <w:tcW w:w="1656" w:type="dxa"/>
            <w:vAlign w:val="center"/>
          </w:tcPr>
          <w:p w14:paraId="6CEEA16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★CPU信息</w:t>
            </w:r>
          </w:p>
        </w:tc>
        <w:tc>
          <w:tcPr>
            <w:tcW w:w="3790" w:type="dxa"/>
            <w:vAlign w:val="center"/>
          </w:tcPr>
          <w:p w14:paraId="5F46A1F6">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供应商应给出CPU信息，包含CPU型号、物理核心数、主频、末级缓存容量、线程数、热设计功耗及支持内存的最高速率、通道数和位宽</w:t>
            </w:r>
          </w:p>
        </w:tc>
        <w:tc>
          <w:tcPr>
            <w:tcW w:w="1657" w:type="dxa"/>
            <w:noWrap/>
            <w:vAlign w:val="center"/>
          </w:tcPr>
          <w:p w14:paraId="4612796B">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7DF4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0FDD0D46">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2</w:t>
            </w:r>
          </w:p>
        </w:tc>
        <w:tc>
          <w:tcPr>
            <w:tcW w:w="933" w:type="dxa"/>
            <w:vAlign w:val="center"/>
          </w:tcPr>
          <w:p w14:paraId="20E730E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restart"/>
            <w:vAlign w:val="center"/>
          </w:tcPr>
          <w:p w14:paraId="4CA4D41F">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主板规格</w:t>
            </w:r>
          </w:p>
        </w:tc>
        <w:tc>
          <w:tcPr>
            <w:tcW w:w="1656" w:type="dxa"/>
            <w:vAlign w:val="center"/>
          </w:tcPr>
          <w:p w14:paraId="7D735D8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★主板支持的CPU和内存情况</w:t>
            </w:r>
          </w:p>
        </w:tc>
        <w:tc>
          <w:tcPr>
            <w:tcW w:w="3790" w:type="dxa"/>
            <w:vAlign w:val="center"/>
          </w:tcPr>
          <w:p w14:paraId="7135B0B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供应商给出主板支持的CPU和内存的型号数量</w:t>
            </w:r>
          </w:p>
        </w:tc>
        <w:tc>
          <w:tcPr>
            <w:tcW w:w="1657" w:type="dxa"/>
            <w:noWrap/>
            <w:vAlign w:val="center"/>
          </w:tcPr>
          <w:p w14:paraId="465D2B18">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24D9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3841496C">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3</w:t>
            </w:r>
          </w:p>
        </w:tc>
        <w:tc>
          <w:tcPr>
            <w:tcW w:w="933" w:type="dxa"/>
            <w:vAlign w:val="center"/>
          </w:tcPr>
          <w:p w14:paraId="03C1ADCF">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continue"/>
            <w:vAlign w:val="center"/>
          </w:tcPr>
          <w:p w14:paraId="24A33DFE">
            <w:pPr>
              <w:rPr>
                <w:rFonts w:ascii="宋体" w:hAnsi="宋体" w:eastAsia="宋体" w:cs="宋体"/>
                <w:color w:val="000000"/>
                <w:sz w:val="24"/>
                <w:highlight w:val="none"/>
              </w:rPr>
            </w:pPr>
          </w:p>
        </w:tc>
        <w:tc>
          <w:tcPr>
            <w:tcW w:w="1656" w:type="dxa"/>
            <w:vAlign w:val="center"/>
          </w:tcPr>
          <w:p w14:paraId="1A9FC152">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★主板内存槽数量</w:t>
            </w:r>
          </w:p>
        </w:tc>
        <w:tc>
          <w:tcPr>
            <w:tcW w:w="3790" w:type="dxa"/>
            <w:vAlign w:val="center"/>
          </w:tcPr>
          <w:p w14:paraId="53ABB1E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非板载内存的可扩展插槽数量应不少于4个</w:t>
            </w:r>
          </w:p>
        </w:tc>
        <w:tc>
          <w:tcPr>
            <w:tcW w:w="1657" w:type="dxa"/>
            <w:noWrap/>
            <w:vAlign w:val="center"/>
          </w:tcPr>
          <w:p w14:paraId="1072068A">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3922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14198129">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4</w:t>
            </w:r>
          </w:p>
        </w:tc>
        <w:tc>
          <w:tcPr>
            <w:tcW w:w="933" w:type="dxa"/>
            <w:vAlign w:val="center"/>
          </w:tcPr>
          <w:p w14:paraId="24D2BD2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continue"/>
            <w:vAlign w:val="center"/>
          </w:tcPr>
          <w:p w14:paraId="3859ABED">
            <w:pPr>
              <w:rPr>
                <w:rFonts w:ascii="宋体" w:hAnsi="宋体" w:eastAsia="宋体" w:cs="宋体"/>
                <w:color w:val="000000"/>
                <w:sz w:val="24"/>
                <w:highlight w:val="none"/>
              </w:rPr>
            </w:pPr>
          </w:p>
        </w:tc>
        <w:tc>
          <w:tcPr>
            <w:tcW w:w="1656" w:type="dxa"/>
            <w:vAlign w:val="center"/>
          </w:tcPr>
          <w:p w14:paraId="1AB96539">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★主板存储接口</w:t>
            </w:r>
          </w:p>
        </w:tc>
        <w:tc>
          <w:tcPr>
            <w:tcW w:w="3790" w:type="dxa"/>
            <w:vAlign w:val="center"/>
          </w:tcPr>
          <w:p w14:paraId="75119843">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至少支持SATA、SAS、M.2、U.2等存储接口中的1种</w:t>
            </w:r>
          </w:p>
        </w:tc>
        <w:tc>
          <w:tcPr>
            <w:tcW w:w="1657" w:type="dxa"/>
            <w:noWrap/>
            <w:vAlign w:val="center"/>
          </w:tcPr>
          <w:p w14:paraId="51D8608C">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2950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45F59492">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5</w:t>
            </w:r>
          </w:p>
        </w:tc>
        <w:tc>
          <w:tcPr>
            <w:tcW w:w="933" w:type="dxa"/>
            <w:vAlign w:val="center"/>
          </w:tcPr>
          <w:p w14:paraId="214AA81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continue"/>
            <w:vAlign w:val="center"/>
          </w:tcPr>
          <w:p w14:paraId="674542B5">
            <w:pPr>
              <w:rPr>
                <w:rFonts w:ascii="宋体" w:hAnsi="宋体" w:eastAsia="宋体" w:cs="宋体"/>
                <w:color w:val="000000"/>
                <w:sz w:val="24"/>
                <w:highlight w:val="none"/>
              </w:rPr>
            </w:pPr>
          </w:p>
        </w:tc>
        <w:tc>
          <w:tcPr>
            <w:tcW w:w="1656" w:type="dxa"/>
            <w:vAlign w:val="center"/>
          </w:tcPr>
          <w:p w14:paraId="2594C33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★PCIe插槽接口</w:t>
            </w:r>
          </w:p>
        </w:tc>
        <w:tc>
          <w:tcPr>
            <w:tcW w:w="3790" w:type="dxa"/>
            <w:vAlign w:val="center"/>
          </w:tcPr>
          <w:p w14:paraId="10ABEE4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符合PCIe3.0或以上的高速串行计算机扩展总线标准，PCIe的接口速率与位宽需保证向下兼容</w:t>
            </w:r>
          </w:p>
        </w:tc>
        <w:tc>
          <w:tcPr>
            <w:tcW w:w="1657" w:type="dxa"/>
            <w:noWrap/>
            <w:vAlign w:val="center"/>
          </w:tcPr>
          <w:p w14:paraId="66FFAFE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908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27" w:type="dxa"/>
            <w:vAlign w:val="center"/>
          </w:tcPr>
          <w:p w14:paraId="60FE460A">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6</w:t>
            </w:r>
          </w:p>
        </w:tc>
        <w:tc>
          <w:tcPr>
            <w:tcW w:w="933" w:type="dxa"/>
            <w:vAlign w:val="center"/>
          </w:tcPr>
          <w:p w14:paraId="7764EDA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continue"/>
            <w:vAlign w:val="center"/>
          </w:tcPr>
          <w:p w14:paraId="00D1F209">
            <w:pPr>
              <w:rPr>
                <w:rFonts w:ascii="宋体" w:hAnsi="宋体" w:eastAsia="宋体" w:cs="宋体"/>
                <w:color w:val="000000"/>
                <w:sz w:val="24"/>
                <w:highlight w:val="none"/>
              </w:rPr>
            </w:pPr>
          </w:p>
        </w:tc>
        <w:tc>
          <w:tcPr>
            <w:tcW w:w="1656" w:type="dxa"/>
            <w:vAlign w:val="center"/>
          </w:tcPr>
          <w:p w14:paraId="020FD14F">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★主板PCIe插槽数量及规格</w:t>
            </w:r>
          </w:p>
        </w:tc>
        <w:tc>
          <w:tcPr>
            <w:tcW w:w="3790" w:type="dxa"/>
            <w:vAlign w:val="center"/>
          </w:tcPr>
          <w:p w14:paraId="475A703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a）高度大于44.45mm双路或以上服务器PCIe插槽或接口应不少于5个；</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b）单路服务器PCIe插槽或接口应不少于4个，可通过扩展卡进行插槽扩展（本项目不涉及）</w:t>
            </w:r>
          </w:p>
        </w:tc>
        <w:tc>
          <w:tcPr>
            <w:tcW w:w="1657" w:type="dxa"/>
            <w:noWrap/>
            <w:vAlign w:val="center"/>
          </w:tcPr>
          <w:p w14:paraId="6382FBF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53E8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60F4F779">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7</w:t>
            </w:r>
          </w:p>
        </w:tc>
        <w:tc>
          <w:tcPr>
            <w:tcW w:w="933" w:type="dxa"/>
            <w:vAlign w:val="center"/>
          </w:tcPr>
          <w:p w14:paraId="5897B56B">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restart"/>
            <w:vAlign w:val="center"/>
          </w:tcPr>
          <w:p w14:paraId="4192F2C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内存规格</w:t>
            </w:r>
          </w:p>
        </w:tc>
        <w:tc>
          <w:tcPr>
            <w:tcW w:w="1656" w:type="dxa"/>
            <w:vAlign w:val="center"/>
          </w:tcPr>
          <w:p w14:paraId="22D2869B">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★内存数量</w:t>
            </w:r>
          </w:p>
        </w:tc>
        <w:tc>
          <w:tcPr>
            <w:tcW w:w="3790" w:type="dxa"/>
            <w:vAlign w:val="center"/>
          </w:tcPr>
          <w:p w14:paraId="23AEBDE1">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w:t>
            </w:r>
          </w:p>
        </w:tc>
        <w:tc>
          <w:tcPr>
            <w:tcW w:w="1657" w:type="dxa"/>
            <w:noWrap/>
            <w:vAlign w:val="center"/>
          </w:tcPr>
          <w:p w14:paraId="5872548A">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203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2A2DA0EF">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8</w:t>
            </w:r>
          </w:p>
        </w:tc>
        <w:tc>
          <w:tcPr>
            <w:tcW w:w="933" w:type="dxa"/>
            <w:vAlign w:val="center"/>
          </w:tcPr>
          <w:p w14:paraId="39AE7D4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continue"/>
            <w:vAlign w:val="center"/>
          </w:tcPr>
          <w:p w14:paraId="69C6F86E">
            <w:pPr>
              <w:rPr>
                <w:rFonts w:ascii="宋体" w:hAnsi="宋体" w:eastAsia="宋体" w:cs="宋体"/>
                <w:color w:val="000000"/>
                <w:sz w:val="24"/>
                <w:highlight w:val="none"/>
              </w:rPr>
            </w:pPr>
          </w:p>
        </w:tc>
        <w:tc>
          <w:tcPr>
            <w:tcW w:w="1656" w:type="dxa"/>
            <w:vAlign w:val="center"/>
          </w:tcPr>
          <w:p w14:paraId="4D5BB26C">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★内存规格</w:t>
            </w:r>
          </w:p>
        </w:tc>
        <w:tc>
          <w:tcPr>
            <w:tcW w:w="3790" w:type="dxa"/>
            <w:vAlign w:val="center"/>
          </w:tcPr>
          <w:p w14:paraId="6154418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≥DDR4</w:t>
            </w:r>
          </w:p>
        </w:tc>
        <w:tc>
          <w:tcPr>
            <w:tcW w:w="1657" w:type="dxa"/>
            <w:noWrap/>
            <w:vAlign w:val="center"/>
          </w:tcPr>
          <w:p w14:paraId="04AA2E2D">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11B7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7" w:type="dxa"/>
            <w:vAlign w:val="center"/>
          </w:tcPr>
          <w:p w14:paraId="71A730E5">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9</w:t>
            </w:r>
          </w:p>
        </w:tc>
        <w:tc>
          <w:tcPr>
            <w:tcW w:w="933" w:type="dxa"/>
            <w:vAlign w:val="center"/>
          </w:tcPr>
          <w:p w14:paraId="6DC5C54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continue"/>
            <w:vAlign w:val="center"/>
          </w:tcPr>
          <w:p w14:paraId="5EDCCC1E">
            <w:pPr>
              <w:rPr>
                <w:rFonts w:ascii="宋体" w:hAnsi="宋体" w:eastAsia="宋体" w:cs="宋体"/>
                <w:color w:val="000000"/>
                <w:sz w:val="24"/>
                <w:highlight w:val="none"/>
              </w:rPr>
            </w:pPr>
          </w:p>
        </w:tc>
        <w:tc>
          <w:tcPr>
            <w:tcW w:w="1656" w:type="dxa"/>
            <w:vAlign w:val="center"/>
          </w:tcPr>
          <w:p w14:paraId="603F396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★内存通道</w:t>
            </w:r>
          </w:p>
        </w:tc>
        <w:tc>
          <w:tcPr>
            <w:tcW w:w="3790" w:type="dxa"/>
            <w:vAlign w:val="center"/>
          </w:tcPr>
          <w:p w14:paraId="3FEB3C4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支持多个内存接口通道，每个通道可支持1DPC或2DPC，当支持2DPC时，印制电路板上应具备插槽的序号标识，具体通道数应在随机文件中明确</w:t>
            </w:r>
          </w:p>
        </w:tc>
        <w:tc>
          <w:tcPr>
            <w:tcW w:w="1657" w:type="dxa"/>
            <w:noWrap/>
            <w:vAlign w:val="center"/>
          </w:tcPr>
          <w:p w14:paraId="279952AC">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DE8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1DFE9DB6">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10</w:t>
            </w:r>
          </w:p>
        </w:tc>
        <w:tc>
          <w:tcPr>
            <w:tcW w:w="933" w:type="dxa"/>
            <w:vAlign w:val="center"/>
          </w:tcPr>
          <w:p w14:paraId="4C6B5EC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restart"/>
            <w:vAlign w:val="center"/>
          </w:tcPr>
          <w:p w14:paraId="2A5C9B19">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存储规格</w:t>
            </w:r>
          </w:p>
        </w:tc>
        <w:tc>
          <w:tcPr>
            <w:tcW w:w="1656" w:type="dxa"/>
            <w:vAlign w:val="center"/>
          </w:tcPr>
          <w:p w14:paraId="40CC53A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★硬盘实配容量</w:t>
            </w:r>
          </w:p>
        </w:tc>
        <w:tc>
          <w:tcPr>
            <w:tcW w:w="3790" w:type="dxa"/>
            <w:vAlign w:val="center"/>
          </w:tcPr>
          <w:p w14:paraId="1B2826E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服务器产品至少要配备一款存储设备</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a)若配备硬磁盘，服务器提供的实配硬磁盘可用容量应不小于600GB</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b)若配备固态盘，实配固态盘单盘可用容量不小于240GB，NVMe SSD容量不小于960GB</w:t>
            </w:r>
          </w:p>
        </w:tc>
        <w:tc>
          <w:tcPr>
            <w:tcW w:w="1657" w:type="dxa"/>
            <w:noWrap/>
            <w:vAlign w:val="center"/>
          </w:tcPr>
          <w:p w14:paraId="70AE208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114C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7" w:type="dxa"/>
            <w:vAlign w:val="center"/>
          </w:tcPr>
          <w:p w14:paraId="2D7CF1E6">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11</w:t>
            </w:r>
          </w:p>
        </w:tc>
        <w:tc>
          <w:tcPr>
            <w:tcW w:w="933" w:type="dxa"/>
            <w:vAlign w:val="center"/>
          </w:tcPr>
          <w:p w14:paraId="0196A49C">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continue"/>
            <w:vAlign w:val="center"/>
          </w:tcPr>
          <w:p w14:paraId="043D62CD">
            <w:pPr>
              <w:rPr>
                <w:rFonts w:ascii="宋体" w:hAnsi="宋体" w:eastAsia="宋体" w:cs="宋体"/>
                <w:color w:val="000000"/>
                <w:sz w:val="24"/>
                <w:highlight w:val="none"/>
              </w:rPr>
            </w:pPr>
          </w:p>
        </w:tc>
        <w:tc>
          <w:tcPr>
            <w:tcW w:w="1656" w:type="dxa"/>
            <w:vAlign w:val="center"/>
          </w:tcPr>
          <w:p w14:paraId="33F2E52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★硬盘实配数量</w:t>
            </w:r>
          </w:p>
        </w:tc>
        <w:tc>
          <w:tcPr>
            <w:tcW w:w="3790" w:type="dxa"/>
            <w:vAlign w:val="center"/>
          </w:tcPr>
          <w:p w14:paraId="0837152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a)若配备硬磁盘，服务器提供的实配硬磁盘数量应不小于2 块，可实现互为备份；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b)若配备固态盘，实配盘数应不小于1 块</w:t>
            </w:r>
          </w:p>
        </w:tc>
        <w:tc>
          <w:tcPr>
            <w:tcW w:w="1657" w:type="dxa"/>
            <w:noWrap/>
            <w:vAlign w:val="center"/>
          </w:tcPr>
          <w:p w14:paraId="7F88C113">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6FD5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27" w:type="dxa"/>
            <w:vAlign w:val="center"/>
          </w:tcPr>
          <w:p w14:paraId="394BC9AC">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12</w:t>
            </w:r>
          </w:p>
        </w:tc>
        <w:tc>
          <w:tcPr>
            <w:tcW w:w="933" w:type="dxa"/>
            <w:vAlign w:val="center"/>
          </w:tcPr>
          <w:p w14:paraId="5E093FB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continue"/>
            <w:vAlign w:val="center"/>
          </w:tcPr>
          <w:p w14:paraId="087643CD">
            <w:pPr>
              <w:rPr>
                <w:rFonts w:ascii="宋体" w:hAnsi="宋体" w:eastAsia="宋体" w:cs="宋体"/>
                <w:color w:val="000000"/>
                <w:sz w:val="24"/>
                <w:highlight w:val="none"/>
              </w:rPr>
            </w:pPr>
          </w:p>
        </w:tc>
        <w:tc>
          <w:tcPr>
            <w:tcW w:w="1656" w:type="dxa"/>
            <w:vAlign w:val="center"/>
          </w:tcPr>
          <w:p w14:paraId="7F599CD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★硬盘插槽数量及规格</w:t>
            </w:r>
          </w:p>
        </w:tc>
        <w:tc>
          <w:tcPr>
            <w:tcW w:w="3790" w:type="dxa"/>
            <w:vAlign w:val="center"/>
          </w:tcPr>
          <w:p w14:paraId="2B335CA9">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a）供应商应给出配置的硬盘尺寸，如2.5英寸、3.5英寸硬磁盘；</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b）机箱高度不大于88.9mm的服务器可支持的硬盘数量应不少于8块，机箱高度不大于44.45mm的服务器可支持的硬盘数量应不少于4块，机箱高度大于88.9mm的服务器可支持的硬盘数量应不少于10块</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c）存储型服务器可支持硬盘数量应不少于24块（本项目不涉及）</w:t>
            </w:r>
          </w:p>
        </w:tc>
        <w:tc>
          <w:tcPr>
            <w:tcW w:w="1657" w:type="dxa"/>
            <w:noWrap/>
            <w:vAlign w:val="center"/>
          </w:tcPr>
          <w:p w14:paraId="2E4C694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2C47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59CC39A3">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13</w:t>
            </w:r>
          </w:p>
        </w:tc>
        <w:tc>
          <w:tcPr>
            <w:tcW w:w="933" w:type="dxa"/>
            <w:vAlign w:val="center"/>
          </w:tcPr>
          <w:p w14:paraId="029F0106">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Align w:val="center"/>
          </w:tcPr>
          <w:p w14:paraId="489FA0D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网络规格</w:t>
            </w:r>
          </w:p>
        </w:tc>
        <w:tc>
          <w:tcPr>
            <w:tcW w:w="1656" w:type="dxa"/>
            <w:vAlign w:val="center"/>
          </w:tcPr>
          <w:p w14:paraId="1892CDC1">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★网口速率和数量</w:t>
            </w:r>
          </w:p>
        </w:tc>
        <w:tc>
          <w:tcPr>
            <w:tcW w:w="3790" w:type="dxa"/>
            <w:vAlign w:val="center"/>
          </w:tcPr>
          <w:p w14:paraId="3660EF7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配备网口数量不少于1 个，且网口速率不少于1GE</w:t>
            </w:r>
          </w:p>
        </w:tc>
        <w:tc>
          <w:tcPr>
            <w:tcW w:w="1657" w:type="dxa"/>
            <w:noWrap/>
            <w:vAlign w:val="center"/>
          </w:tcPr>
          <w:p w14:paraId="3AB64737">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3E90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651C069C">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14</w:t>
            </w:r>
          </w:p>
        </w:tc>
        <w:tc>
          <w:tcPr>
            <w:tcW w:w="933" w:type="dxa"/>
            <w:vAlign w:val="center"/>
          </w:tcPr>
          <w:p w14:paraId="57D6D0F9">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restart"/>
            <w:vAlign w:val="center"/>
          </w:tcPr>
          <w:p w14:paraId="25C31BFF">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外部接口规格</w:t>
            </w:r>
          </w:p>
        </w:tc>
        <w:tc>
          <w:tcPr>
            <w:tcW w:w="1656" w:type="dxa"/>
            <w:vAlign w:val="center"/>
          </w:tcPr>
          <w:p w14:paraId="7AC9ADBC">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★显示接口</w:t>
            </w:r>
          </w:p>
        </w:tc>
        <w:tc>
          <w:tcPr>
            <w:tcW w:w="3790" w:type="dxa"/>
            <w:vAlign w:val="center"/>
          </w:tcPr>
          <w:p w14:paraId="72582123">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显示接口类型应不少于1种，如：VGA、DP、HDMI等</w:t>
            </w:r>
          </w:p>
        </w:tc>
        <w:tc>
          <w:tcPr>
            <w:tcW w:w="1657" w:type="dxa"/>
            <w:noWrap/>
            <w:vAlign w:val="center"/>
          </w:tcPr>
          <w:p w14:paraId="3BB0EA94">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6BDF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117C4962">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15</w:t>
            </w:r>
          </w:p>
        </w:tc>
        <w:tc>
          <w:tcPr>
            <w:tcW w:w="933" w:type="dxa"/>
            <w:vAlign w:val="center"/>
          </w:tcPr>
          <w:p w14:paraId="6CC8E532">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continue"/>
            <w:vAlign w:val="center"/>
          </w:tcPr>
          <w:p w14:paraId="4EAAA4C9">
            <w:pPr>
              <w:rPr>
                <w:rFonts w:ascii="宋体" w:hAnsi="宋体" w:eastAsia="宋体" w:cs="宋体"/>
                <w:color w:val="000000"/>
                <w:sz w:val="24"/>
                <w:highlight w:val="none"/>
              </w:rPr>
            </w:pPr>
          </w:p>
        </w:tc>
        <w:tc>
          <w:tcPr>
            <w:tcW w:w="1656" w:type="dxa"/>
            <w:vAlign w:val="center"/>
          </w:tcPr>
          <w:p w14:paraId="3617482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★USB接口</w:t>
            </w:r>
          </w:p>
        </w:tc>
        <w:tc>
          <w:tcPr>
            <w:tcW w:w="3790" w:type="dxa"/>
            <w:vAlign w:val="center"/>
          </w:tcPr>
          <w:p w14:paraId="67DEDBD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配备USB接口，如USB2.0、USB3.0等</w:t>
            </w:r>
          </w:p>
        </w:tc>
        <w:tc>
          <w:tcPr>
            <w:tcW w:w="1657" w:type="dxa"/>
            <w:noWrap/>
            <w:vAlign w:val="center"/>
          </w:tcPr>
          <w:p w14:paraId="5CBA06E7">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6719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27" w:type="dxa"/>
            <w:shd w:val="clear" w:color="auto" w:fill="auto"/>
            <w:vAlign w:val="center"/>
          </w:tcPr>
          <w:p w14:paraId="01565481">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16</w:t>
            </w:r>
          </w:p>
        </w:tc>
        <w:tc>
          <w:tcPr>
            <w:tcW w:w="933" w:type="dxa"/>
            <w:shd w:val="clear" w:color="auto" w:fill="auto"/>
            <w:vAlign w:val="center"/>
          </w:tcPr>
          <w:p w14:paraId="5E0B34F3">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restart"/>
            <w:vAlign w:val="center"/>
          </w:tcPr>
          <w:p w14:paraId="05E2762F">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电源规格</w:t>
            </w:r>
          </w:p>
        </w:tc>
        <w:tc>
          <w:tcPr>
            <w:tcW w:w="1656" w:type="dxa"/>
            <w:vAlign w:val="center"/>
          </w:tcPr>
          <w:p w14:paraId="0CB05DAE">
            <w:pPr>
              <w:widowControl/>
              <w:textAlignment w:val="center"/>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★电源模块数量</w:t>
            </w:r>
          </w:p>
        </w:tc>
        <w:tc>
          <w:tcPr>
            <w:tcW w:w="3790" w:type="dxa"/>
            <w:shd w:val="clear" w:color="auto" w:fill="auto"/>
            <w:vAlign w:val="center"/>
          </w:tcPr>
          <w:p w14:paraId="5956B52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w:t>
            </w:r>
          </w:p>
        </w:tc>
        <w:tc>
          <w:tcPr>
            <w:tcW w:w="1657" w:type="dxa"/>
            <w:shd w:val="clear" w:color="auto" w:fill="auto"/>
            <w:noWrap/>
            <w:vAlign w:val="center"/>
          </w:tcPr>
          <w:p w14:paraId="4DC026BA">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46B9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01D0DC4C">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17</w:t>
            </w:r>
          </w:p>
        </w:tc>
        <w:tc>
          <w:tcPr>
            <w:tcW w:w="933" w:type="dxa"/>
            <w:vAlign w:val="center"/>
          </w:tcPr>
          <w:p w14:paraId="38C6F862">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continue"/>
            <w:vAlign w:val="center"/>
          </w:tcPr>
          <w:p w14:paraId="21F153FC">
            <w:pPr>
              <w:rPr>
                <w:rFonts w:ascii="宋体" w:hAnsi="宋体" w:eastAsia="宋体" w:cs="宋体"/>
                <w:color w:val="000000"/>
                <w:sz w:val="24"/>
                <w:highlight w:val="none"/>
              </w:rPr>
            </w:pPr>
          </w:p>
        </w:tc>
        <w:tc>
          <w:tcPr>
            <w:tcW w:w="1656" w:type="dxa"/>
            <w:vAlign w:val="center"/>
          </w:tcPr>
          <w:p w14:paraId="6E6EEF2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★电源功率</w:t>
            </w:r>
          </w:p>
        </w:tc>
        <w:tc>
          <w:tcPr>
            <w:tcW w:w="3790" w:type="dxa"/>
            <w:vAlign w:val="center"/>
          </w:tcPr>
          <w:p w14:paraId="6AA37022">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电源模块功率应有一定冗余，满足处理器满载时的需求</w:t>
            </w:r>
          </w:p>
        </w:tc>
        <w:tc>
          <w:tcPr>
            <w:tcW w:w="1657" w:type="dxa"/>
            <w:noWrap/>
            <w:vAlign w:val="center"/>
          </w:tcPr>
          <w:p w14:paraId="47C10DF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350F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vAlign w:val="center"/>
          </w:tcPr>
          <w:p w14:paraId="69158127">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18</w:t>
            </w:r>
          </w:p>
        </w:tc>
        <w:tc>
          <w:tcPr>
            <w:tcW w:w="933" w:type="dxa"/>
            <w:vAlign w:val="center"/>
          </w:tcPr>
          <w:p w14:paraId="7DA35E5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restart"/>
            <w:vAlign w:val="center"/>
          </w:tcPr>
          <w:p w14:paraId="0F997843">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整机规格</w:t>
            </w:r>
          </w:p>
        </w:tc>
        <w:tc>
          <w:tcPr>
            <w:tcW w:w="1656" w:type="dxa"/>
            <w:vAlign w:val="center"/>
          </w:tcPr>
          <w:p w14:paraId="274B8B3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★外观和结构</w:t>
            </w:r>
          </w:p>
        </w:tc>
        <w:tc>
          <w:tcPr>
            <w:tcW w:w="3790" w:type="dxa"/>
            <w:vAlign w:val="center"/>
          </w:tcPr>
          <w:p w14:paraId="4B23AEE0">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a）服务器的零部件应紧固无松动，可插拔部件应可靠连接，开关、按钮和其他控制部件应灵活可靠，布局应方便使用；</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b）产品表面不应有明显的凹痕、划伤、裂缝、变形和污染等。表面涂层均匀，不应起泡、龟裂、脱落和磨损，金属零部件无锈蚀及其它机械损伤；</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c）产品表面说明功能的文字、符号和标志应清晰、端正且牢固；</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d）应在服务器的显著位置提供运行状态的指示功能，并在随机文件中明确具体含义；</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e）机架、机箱的尺寸应符合通用机柜的安装要求，插入总线插座的电路板接口外形尺寸应符合有关总线标准的规定，将机箱固定在机柜上，机箱底面最大下垂变形不得干涉相邻机体；</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f）高密度服务器应给出CPU个数与机柜高度（本项目不涉及）；</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g）服务器尺寸具体要求在随机文件中明确</w:t>
            </w:r>
          </w:p>
        </w:tc>
        <w:tc>
          <w:tcPr>
            <w:tcW w:w="1657" w:type="dxa"/>
            <w:noWrap/>
            <w:vAlign w:val="center"/>
          </w:tcPr>
          <w:p w14:paraId="45B6D9F0">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97C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7" w:type="dxa"/>
            <w:vAlign w:val="center"/>
          </w:tcPr>
          <w:p w14:paraId="5B299794">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19</w:t>
            </w:r>
          </w:p>
        </w:tc>
        <w:tc>
          <w:tcPr>
            <w:tcW w:w="933" w:type="dxa"/>
            <w:vAlign w:val="center"/>
          </w:tcPr>
          <w:p w14:paraId="012953B6">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continue"/>
            <w:vAlign w:val="center"/>
          </w:tcPr>
          <w:p w14:paraId="1FDAD656">
            <w:pPr>
              <w:rPr>
                <w:rFonts w:ascii="宋体" w:hAnsi="宋体" w:eastAsia="宋体" w:cs="宋体"/>
                <w:color w:val="000000"/>
                <w:sz w:val="24"/>
                <w:highlight w:val="none"/>
              </w:rPr>
            </w:pPr>
          </w:p>
        </w:tc>
        <w:tc>
          <w:tcPr>
            <w:tcW w:w="1656" w:type="dxa"/>
            <w:vAlign w:val="center"/>
          </w:tcPr>
          <w:p w14:paraId="7013288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★尺寸（高×宽×深）</w:t>
            </w:r>
          </w:p>
        </w:tc>
        <w:tc>
          <w:tcPr>
            <w:tcW w:w="3790" w:type="dxa"/>
            <w:vAlign w:val="center"/>
          </w:tcPr>
          <w:p w14:paraId="307DD32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供应商给出产品尺寸；</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设计应遵循标准化、系列化的要求；</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机箱的内部结构符合通用部件的安装需要</w:t>
            </w:r>
          </w:p>
        </w:tc>
        <w:tc>
          <w:tcPr>
            <w:tcW w:w="1657" w:type="dxa"/>
            <w:noWrap/>
            <w:vAlign w:val="center"/>
          </w:tcPr>
          <w:p w14:paraId="73274435">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7412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27" w:type="dxa"/>
            <w:vAlign w:val="center"/>
          </w:tcPr>
          <w:p w14:paraId="5626D378">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20</w:t>
            </w:r>
          </w:p>
        </w:tc>
        <w:tc>
          <w:tcPr>
            <w:tcW w:w="933" w:type="dxa"/>
            <w:vAlign w:val="center"/>
          </w:tcPr>
          <w:p w14:paraId="7738140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continue"/>
            <w:vAlign w:val="center"/>
          </w:tcPr>
          <w:p w14:paraId="2E72ECF5">
            <w:pPr>
              <w:rPr>
                <w:rFonts w:ascii="宋体" w:hAnsi="宋体" w:eastAsia="宋体" w:cs="宋体"/>
                <w:color w:val="000000"/>
                <w:sz w:val="24"/>
                <w:highlight w:val="none"/>
              </w:rPr>
            </w:pPr>
          </w:p>
        </w:tc>
        <w:tc>
          <w:tcPr>
            <w:tcW w:w="1656" w:type="dxa"/>
            <w:vAlign w:val="center"/>
          </w:tcPr>
          <w:p w14:paraId="2EB5D07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★环境适应性</w:t>
            </w:r>
          </w:p>
        </w:tc>
        <w:tc>
          <w:tcPr>
            <w:tcW w:w="3790" w:type="dxa"/>
            <w:vAlign w:val="center"/>
          </w:tcPr>
          <w:p w14:paraId="78FBF33F">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气候环境适应性应符合GB/T9813.3的有关规定，工作温度10~35℃,贮存运输温度-40～55℃;工作相对湿度35%～80%，贮存运输相对湿度20％～93%（40℃）;大气压86～106kPa</w:t>
            </w:r>
          </w:p>
        </w:tc>
        <w:tc>
          <w:tcPr>
            <w:tcW w:w="1657" w:type="dxa"/>
            <w:noWrap/>
            <w:vAlign w:val="center"/>
          </w:tcPr>
          <w:p w14:paraId="261CEFF6">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6D6A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604ECDBD">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21</w:t>
            </w:r>
          </w:p>
        </w:tc>
        <w:tc>
          <w:tcPr>
            <w:tcW w:w="933" w:type="dxa"/>
            <w:vAlign w:val="center"/>
          </w:tcPr>
          <w:p w14:paraId="616D80E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continue"/>
            <w:vAlign w:val="center"/>
          </w:tcPr>
          <w:p w14:paraId="4BFA4CCB">
            <w:pPr>
              <w:rPr>
                <w:rFonts w:ascii="宋体" w:hAnsi="宋体" w:eastAsia="宋体" w:cs="宋体"/>
                <w:color w:val="000000"/>
                <w:sz w:val="24"/>
                <w:highlight w:val="none"/>
              </w:rPr>
            </w:pPr>
          </w:p>
        </w:tc>
        <w:tc>
          <w:tcPr>
            <w:tcW w:w="1656" w:type="dxa"/>
            <w:vAlign w:val="center"/>
          </w:tcPr>
          <w:p w14:paraId="0735FE0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★机械环境适应性</w:t>
            </w:r>
          </w:p>
        </w:tc>
        <w:tc>
          <w:tcPr>
            <w:tcW w:w="3790" w:type="dxa"/>
            <w:vAlign w:val="center"/>
          </w:tcPr>
          <w:p w14:paraId="008EE3DB">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机械环境适应性应符合GB/T9813.3的有关规定</w:t>
            </w:r>
          </w:p>
        </w:tc>
        <w:tc>
          <w:tcPr>
            <w:tcW w:w="1657" w:type="dxa"/>
            <w:noWrap/>
            <w:vAlign w:val="center"/>
          </w:tcPr>
          <w:p w14:paraId="442D4DF1">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6537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7D9E3EE7">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22</w:t>
            </w:r>
          </w:p>
        </w:tc>
        <w:tc>
          <w:tcPr>
            <w:tcW w:w="933" w:type="dxa"/>
            <w:vAlign w:val="center"/>
          </w:tcPr>
          <w:p w14:paraId="27DBFB1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Merge w:val="continue"/>
            <w:vAlign w:val="center"/>
          </w:tcPr>
          <w:p w14:paraId="1F8ACC5D">
            <w:pPr>
              <w:rPr>
                <w:rFonts w:ascii="宋体" w:hAnsi="宋体" w:eastAsia="宋体" w:cs="宋体"/>
                <w:color w:val="000000"/>
                <w:sz w:val="24"/>
                <w:highlight w:val="none"/>
              </w:rPr>
            </w:pPr>
          </w:p>
        </w:tc>
        <w:tc>
          <w:tcPr>
            <w:tcW w:w="1656" w:type="dxa"/>
            <w:vAlign w:val="center"/>
          </w:tcPr>
          <w:p w14:paraId="0BBBD48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★噪声</w:t>
            </w:r>
          </w:p>
        </w:tc>
        <w:tc>
          <w:tcPr>
            <w:tcW w:w="3790" w:type="dxa"/>
            <w:vAlign w:val="center"/>
          </w:tcPr>
          <w:p w14:paraId="5A69E49C">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符合GB/T9813.3的有关规定，在产品说明中给出具体测试值塔式服务器噪声在空闲状态下不大于50dB（本项目不涉及）</w:t>
            </w:r>
          </w:p>
        </w:tc>
        <w:tc>
          <w:tcPr>
            <w:tcW w:w="1657" w:type="dxa"/>
            <w:noWrap/>
            <w:vAlign w:val="center"/>
          </w:tcPr>
          <w:p w14:paraId="00448D5C">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2191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27" w:type="dxa"/>
            <w:vAlign w:val="center"/>
          </w:tcPr>
          <w:p w14:paraId="249450C7">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23</w:t>
            </w:r>
          </w:p>
        </w:tc>
        <w:tc>
          <w:tcPr>
            <w:tcW w:w="933" w:type="dxa"/>
            <w:vAlign w:val="center"/>
          </w:tcPr>
          <w:p w14:paraId="3B30B8A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Align w:val="center"/>
          </w:tcPr>
          <w:p w14:paraId="784AAF6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AI计算单元规格</w:t>
            </w:r>
          </w:p>
        </w:tc>
        <w:tc>
          <w:tcPr>
            <w:tcW w:w="1656" w:type="dxa"/>
            <w:vAlign w:val="center"/>
          </w:tcPr>
          <w:p w14:paraId="1C71BFB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AI计算单元</w:t>
            </w:r>
          </w:p>
        </w:tc>
        <w:tc>
          <w:tcPr>
            <w:tcW w:w="3790" w:type="dxa"/>
            <w:vAlign w:val="center"/>
          </w:tcPr>
          <w:p w14:paraId="62B772F2">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若配备AI计算单元应符合如下要求：</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a）具备人工智能加速处理器，计算精度至少支持FP16、BF16、FP32、FP64、INT8和INT16等中的1种；</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b）单推理卡或模块，具备视频解析、文本识别、语音分析等推理能力；在视觉场景下配备可直接调用的接口实现视觉计算加速，路数不小于64（1080P 30FPS）</w:t>
            </w:r>
          </w:p>
        </w:tc>
        <w:tc>
          <w:tcPr>
            <w:tcW w:w="1657" w:type="dxa"/>
            <w:noWrap/>
            <w:vAlign w:val="center"/>
          </w:tcPr>
          <w:p w14:paraId="152D1DA0">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2E1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71F34600">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24</w:t>
            </w:r>
          </w:p>
        </w:tc>
        <w:tc>
          <w:tcPr>
            <w:tcW w:w="933" w:type="dxa"/>
            <w:vAlign w:val="center"/>
          </w:tcPr>
          <w:p w14:paraId="2F822F6F">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产品规格</w:t>
            </w:r>
          </w:p>
        </w:tc>
        <w:tc>
          <w:tcPr>
            <w:tcW w:w="950" w:type="dxa"/>
            <w:vAlign w:val="center"/>
          </w:tcPr>
          <w:p w14:paraId="35F25B0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机柜规格</w:t>
            </w:r>
          </w:p>
        </w:tc>
        <w:tc>
          <w:tcPr>
            <w:tcW w:w="1656" w:type="dxa"/>
            <w:vAlign w:val="center"/>
          </w:tcPr>
          <w:p w14:paraId="7F182472">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★机柜尺寸</w:t>
            </w:r>
          </w:p>
        </w:tc>
        <w:tc>
          <w:tcPr>
            <w:tcW w:w="3790" w:type="dxa"/>
            <w:vAlign w:val="center"/>
          </w:tcPr>
          <w:p w14:paraId="61E5983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供应商给出长度、高度和深度</w:t>
            </w:r>
          </w:p>
        </w:tc>
        <w:tc>
          <w:tcPr>
            <w:tcW w:w="1657" w:type="dxa"/>
            <w:noWrap/>
            <w:vAlign w:val="center"/>
          </w:tcPr>
          <w:p w14:paraId="4FFF5BDC">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5ADE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0F107F91">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25</w:t>
            </w:r>
          </w:p>
        </w:tc>
        <w:tc>
          <w:tcPr>
            <w:tcW w:w="933" w:type="dxa"/>
            <w:vAlign w:val="center"/>
          </w:tcPr>
          <w:p w14:paraId="048081F6">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功能要求</w:t>
            </w:r>
          </w:p>
        </w:tc>
        <w:tc>
          <w:tcPr>
            <w:tcW w:w="950" w:type="dxa"/>
            <w:vAlign w:val="center"/>
          </w:tcPr>
          <w:p w14:paraId="7DF2935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主板功能</w:t>
            </w:r>
          </w:p>
        </w:tc>
        <w:tc>
          <w:tcPr>
            <w:tcW w:w="1656" w:type="dxa"/>
            <w:vAlign w:val="center"/>
          </w:tcPr>
          <w:p w14:paraId="5DAE54D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★主板外部接口种类</w:t>
            </w:r>
          </w:p>
        </w:tc>
        <w:tc>
          <w:tcPr>
            <w:tcW w:w="3790" w:type="dxa"/>
            <w:vAlign w:val="center"/>
          </w:tcPr>
          <w:p w14:paraId="215BFF8B">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支持USB、显示、管理等接口，如：VGA、DP、HDMI、USB3.0、PS/2接口、BMC管理端口</w:t>
            </w:r>
          </w:p>
        </w:tc>
        <w:tc>
          <w:tcPr>
            <w:tcW w:w="1657" w:type="dxa"/>
            <w:noWrap/>
            <w:vAlign w:val="center"/>
          </w:tcPr>
          <w:p w14:paraId="1DB02501">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4E80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0C9D1F57">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26</w:t>
            </w:r>
          </w:p>
        </w:tc>
        <w:tc>
          <w:tcPr>
            <w:tcW w:w="933" w:type="dxa"/>
            <w:vAlign w:val="center"/>
          </w:tcPr>
          <w:p w14:paraId="33EDAD01">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功能要求</w:t>
            </w:r>
          </w:p>
        </w:tc>
        <w:tc>
          <w:tcPr>
            <w:tcW w:w="950" w:type="dxa"/>
            <w:vAlign w:val="center"/>
          </w:tcPr>
          <w:p w14:paraId="5C8E6342">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网络功能</w:t>
            </w:r>
          </w:p>
        </w:tc>
        <w:tc>
          <w:tcPr>
            <w:tcW w:w="1656" w:type="dxa"/>
            <w:vAlign w:val="center"/>
          </w:tcPr>
          <w:p w14:paraId="2C9B2A8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★网络功能</w:t>
            </w:r>
          </w:p>
        </w:tc>
        <w:tc>
          <w:tcPr>
            <w:tcW w:w="3790" w:type="dxa"/>
            <w:vAlign w:val="center"/>
          </w:tcPr>
          <w:p w14:paraId="5433D3F1">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支持网络连接、网络访问、数据交换和网络管控功能</w:t>
            </w:r>
          </w:p>
        </w:tc>
        <w:tc>
          <w:tcPr>
            <w:tcW w:w="1657" w:type="dxa"/>
            <w:noWrap/>
            <w:vAlign w:val="center"/>
          </w:tcPr>
          <w:p w14:paraId="798AB5EB">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23C8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27" w:type="dxa"/>
            <w:vAlign w:val="center"/>
          </w:tcPr>
          <w:p w14:paraId="2A21A488">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27</w:t>
            </w:r>
          </w:p>
        </w:tc>
        <w:tc>
          <w:tcPr>
            <w:tcW w:w="933" w:type="dxa"/>
            <w:vAlign w:val="center"/>
          </w:tcPr>
          <w:p w14:paraId="06477D19">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功能要求</w:t>
            </w:r>
          </w:p>
        </w:tc>
        <w:tc>
          <w:tcPr>
            <w:tcW w:w="950" w:type="dxa"/>
            <w:vMerge w:val="restart"/>
            <w:vAlign w:val="center"/>
          </w:tcPr>
          <w:p w14:paraId="4815EE01">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CPU功能</w:t>
            </w:r>
          </w:p>
        </w:tc>
        <w:tc>
          <w:tcPr>
            <w:tcW w:w="1656" w:type="dxa"/>
            <w:vAlign w:val="center"/>
          </w:tcPr>
          <w:p w14:paraId="26F62EF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★计算处理</w:t>
            </w:r>
          </w:p>
        </w:tc>
        <w:tc>
          <w:tcPr>
            <w:tcW w:w="3790" w:type="dxa"/>
            <w:vAlign w:val="center"/>
          </w:tcPr>
          <w:p w14:paraId="4D5254F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支持通用计算及虚拟化功能。处理器需集成整型计算单元、浮点计算单元、内存控制器、I/O模块等，处理器与存储部件、网络部件、I/O部件等组成计算系统，提供数据处理、网络接入等计算相关功能</w:t>
            </w:r>
          </w:p>
        </w:tc>
        <w:tc>
          <w:tcPr>
            <w:tcW w:w="1657" w:type="dxa"/>
            <w:noWrap/>
            <w:vAlign w:val="center"/>
          </w:tcPr>
          <w:p w14:paraId="67B06651">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7C80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27CFBEBD">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28</w:t>
            </w:r>
          </w:p>
        </w:tc>
        <w:tc>
          <w:tcPr>
            <w:tcW w:w="933" w:type="dxa"/>
            <w:vAlign w:val="center"/>
          </w:tcPr>
          <w:p w14:paraId="2E1F0AF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功能要求</w:t>
            </w:r>
          </w:p>
        </w:tc>
        <w:tc>
          <w:tcPr>
            <w:tcW w:w="950" w:type="dxa"/>
            <w:vMerge w:val="continue"/>
            <w:vAlign w:val="center"/>
          </w:tcPr>
          <w:p w14:paraId="32BE6177">
            <w:pPr>
              <w:rPr>
                <w:rFonts w:ascii="宋体" w:hAnsi="宋体" w:eastAsia="宋体" w:cs="宋体"/>
                <w:color w:val="000000"/>
                <w:sz w:val="24"/>
                <w:highlight w:val="none"/>
              </w:rPr>
            </w:pPr>
          </w:p>
        </w:tc>
        <w:tc>
          <w:tcPr>
            <w:tcW w:w="1656" w:type="dxa"/>
            <w:vAlign w:val="center"/>
          </w:tcPr>
          <w:p w14:paraId="71232EB7">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★密码算法实现</w:t>
            </w:r>
          </w:p>
        </w:tc>
        <w:tc>
          <w:tcPr>
            <w:tcW w:w="3790" w:type="dxa"/>
            <w:vAlign w:val="center"/>
          </w:tcPr>
          <w:p w14:paraId="69EA7C07">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CPU芯片应符合GM/T0008的相关规定，或芯片密码模块应符合GB/T37092或GM/T0028的相关规定；</w:t>
            </w:r>
          </w:p>
        </w:tc>
        <w:tc>
          <w:tcPr>
            <w:tcW w:w="1657" w:type="dxa"/>
            <w:noWrap/>
            <w:vAlign w:val="center"/>
          </w:tcPr>
          <w:p w14:paraId="1874B286">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469B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68C5BC66">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29</w:t>
            </w:r>
          </w:p>
        </w:tc>
        <w:tc>
          <w:tcPr>
            <w:tcW w:w="933" w:type="dxa"/>
            <w:vAlign w:val="center"/>
          </w:tcPr>
          <w:p w14:paraId="7DE7CFDC">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功能要求</w:t>
            </w:r>
          </w:p>
        </w:tc>
        <w:tc>
          <w:tcPr>
            <w:tcW w:w="950" w:type="dxa"/>
            <w:vMerge w:val="restart"/>
            <w:vAlign w:val="center"/>
          </w:tcPr>
          <w:p w14:paraId="4EE0D74C">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电源功能</w:t>
            </w:r>
          </w:p>
        </w:tc>
        <w:tc>
          <w:tcPr>
            <w:tcW w:w="1656" w:type="dxa"/>
            <w:vAlign w:val="center"/>
          </w:tcPr>
          <w:p w14:paraId="6066110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★电源热插拔</w:t>
            </w:r>
          </w:p>
        </w:tc>
        <w:tc>
          <w:tcPr>
            <w:tcW w:w="3790" w:type="dxa"/>
            <w:vAlign w:val="center"/>
          </w:tcPr>
          <w:p w14:paraId="05A2DE8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整机电源模块应具备热插拔功能</w:t>
            </w:r>
          </w:p>
        </w:tc>
        <w:tc>
          <w:tcPr>
            <w:tcW w:w="1657" w:type="dxa"/>
            <w:noWrap/>
            <w:vAlign w:val="center"/>
          </w:tcPr>
          <w:p w14:paraId="569BAFEB">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5293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5114B542">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30</w:t>
            </w:r>
          </w:p>
        </w:tc>
        <w:tc>
          <w:tcPr>
            <w:tcW w:w="933" w:type="dxa"/>
            <w:vAlign w:val="center"/>
          </w:tcPr>
          <w:p w14:paraId="4EA9299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功能要求</w:t>
            </w:r>
          </w:p>
        </w:tc>
        <w:tc>
          <w:tcPr>
            <w:tcW w:w="950" w:type="dxa"/>
            <w:vMerge w:val="continue"/>
            <w:vAlign w:val="center"/>
          </w:tcPr>
          <w:p w14:paraId="013704EA">
            <w:pPr>
              <w:rPr>
                <w:rFonts w:ascii="宋体" w:hAnsi="宋体" w:eastAsia="宋体" w:cs="宋体"/>
                <w:color w:val="000000"/>
                <w:sz w:val="24"/>
                <w:highlight w:val="none"/>
              </w:rPr>
            </w:pPr>
          </w:p>
        </w:tc>
        <w:tc>
          <w:tcPr>
            <w:tcW w:w="1656" w:type="dxa"/>
            <w:vAlign w:val="center"/>
          </w:tcPr>
          <w:p w14:paraId="228FEECB">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★电源过流保护</w:t>
            </w:r>
          </w:p>
        </w:tc>
        <w:tc>
          <w:tcPr>
            <w:tcW w:w="3790" w:type="dxa"/>
            <w:vAlign w:val="center"/>
          </w:tcPr>
          <w:p w14:paraId="05900D8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支持过流及短路保护的功能</w:t>
            </w:r>
          </w:p>
        </w:tc>
        <w:tc>
          <w:tcPr>
            <w:tcW w:w="1657" w:type="dxa"/>
            <w:noWrap/>
            <w:vAlign w:val="center"/>
          </w:tcPr>
          <w:p w14:paraId="5458D096">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2666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621FBA5E">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31</w:t>
            </w:r>
          </w:p>
        </w:tc>
        <w:tc>
          <w:tcPr>
            <w:tcW w:w="933" w:type="dxa"/>
            <w:vAlign w:val="center"/>
          </w:tcPr>
          <w:p w14:paraId="441AABC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功能要求</w:t>
            </w:r>
          </w:p>
        </w:tc>
        <w:tc>
          <w:tcPr>
            <w:tcW w:w="950" w:type="dxa"/>
            <w:vAlign w:val="center"/>
          </w:tcPr>
          <w:p w14:paraId="2AEC2F61">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整机功能</w:t>
            </w:r>
          </w:p>
        </w:tc>
        <w:tc>
          <w:tcPr>
            <w:tcW w:w="1656" w:type="dxa"/>
            <w:vAlign w:val="center"/>
          </w:tcPr>
          <w:p w14:paraId="2AFE8557">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★散热方式</w:t>
            </w:r>
          </w:p>
        </w:tc>
        <w:tc>
          <w:tcPr>
            <w:tcW w:w="3790" w:type="dxa"/>
            <w:vAlign w:val="center"/>
          </w:tcPr>
          <w:p w14:paraId="16137E1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支持风冷或液冷等散热方式</w:t>
            </w:r>
          </w:p>
        </w:tc>
        <w:tc>
          <w:tcPr>
            <w:tcW w:w="1657" w:type="dxa"/>
            <w:noWrap/>
            <w:vAlign w:val="center"/>
          </w:tcPr>
          <w:p w14:paraId="65DB01E6">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7614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627" w:type="dxa"/>
            <w:vAlign w:val="center"/>
          </w:tcPr>
          <w:p w14:paraId="2B9363A2">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32</w:t>
            </w:r>
          </w:p>
        </w:tc>
        <w:tc>
          <w:tcPr>
            <w:tcW w:w="933" w:type="dxa"/>
            <w:vAlign w:val="center"/>
          </w:tcPr>
          <w:p w14:paraId="218D8339">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功能要求</w:t>
            </w:r>
          </w:p>
        </w:tc>
        <w:tc>
          <w:tcPr>
            <w:tcW w:w="950" w:type="dxa"/>
            <w:vMerge w:val="restart"/>
            <w:vAlign w:val="center"/>
          </w:tcPr>
          <w:p w14:paraId="16E90C3F">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管理系统功能</w:t>
            </w:r>
          </w:p>
        </w:tc>
        <w:tc>
          <w:tcPr>
            <w:tcW w:w="1656" w:type="dxa"/>
            <w:vAlign w:val="center"/>
          </w:tcPr>
          <w:p w14:paraId="4DA1F49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★BMC固件基础功能</w:t>
            </w:r>
          </w:p>
        </w:tc>
        <w:tc>
          <w:tcPr>
            <w:tcW w:w="3790" w:type="dxa"/>
            <w:vAlign w:val="center"/>
          </w:tcPr>
          <w:p w14:paraId="45F3C8CD">
            <w:pPr>
              <w:widowControl/>
              <w:textAlignment w:val="center"/>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1）支持DHCP设置网络功能；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2）支持静态IP设置网络功能；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3）支持设备日志记录，包括但不限于登录日志、操作日志和报警日志等功能；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4）支持日志信息导出和记录删除功能；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5）支持通过管理接口向外输出准确的报警信息功能；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6）设备的BMC管理软件应能够按报警的严重程度进行区分；</w:t>
            </w:r>
          </w:p>
          <w:p w14:paraId="7CFD53BA">
            <w:pPr>
              <w:widowControl/>
              <w:textAlignment w:val="center"/>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7）支持IPMI2.0、SNMP或Redfish等接口功能；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8）支持键盘、鼠标和视频的重定向、文本控制台的重定向、远程虚拟媒体、高可靠的硬件监控和管理功能；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9）支持基于网络开启、关闭和重启设备的功能，并查询当前设备开机运行状态；</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10）支持故障提示功能，并可通过接口读取服务器故障信息；</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11）支持基于网络的固件更新功能，包括BMC和BIOS等；</w:t>
            </w:r>
          </w:p>
          <w:p w14:paraId="56477C7A">
            <w:pPr>
              <w:widowControl/>
              <w:textAlignment w:val="center"/>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12）支持基于网络安装操作系统的功能，并可通过网络控制台访问设备；</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13）支持通过本地的硬盘或光驱等存储设备，基于网络完成设备的操作系统安装功能；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14）支持通过浏览器打开管理界面并登录功能；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15）支持设置口令策略功能；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16）支持访问权限设置功能，并通过日志记录访问事件；</w:t>
            </w:r>
          </w:p>
          <w:p w14:paraId="0B2C862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17）支持对出厂默认的用户名及口令进行安全保护功能，并提供默认口令修改提示；</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18）支持读取设备主板的工作环境温度功能；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19）支持读取服务器CPU等核心器件的温度功能；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20）支持通过外部管理工具进行BMC参数设置的功能，并可基于网络通过外部管理工具对BMC进行管理；</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21）应支持固件版本查询、固件升级；</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22）支持基于网络实现开关机和复位控制的功能；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23)BMC启动时间应不超过180s，实现功能包括网络、IPMI、散热、传感器服务可用；</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24）支持BMC固件设置的恢复出厂功能</w:t>
            </w:r>
          </w:p>
        </w:tc>
        <w:tc>
          <w:tcPr>
            <w:tcW w:w="1657" w:type="dxa"/>
            <w:noWrap/>
            <w:vAlign w:val="center"/>
          </w:tcPr>
          <w:p w14:paraId="6DA108EE">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7BA2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627" w:type="dxa"/>
            <w:vAlign w:val="center"/>
          </w:tcPr>
          <w:p w14:paraId="0CEDC2D9">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33</w:t>
            </w:r>
          </w:p>
        </w:tc>
        <w:tc>
          <w:tcPr>
            <w:tcW w:w="933" w:type="dxa"/>
            <w:vAlign w:val="center"/>
          </w:tcPr>
          <w:p w14:paraId="07D08D2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功能要求</w:t>
            </w:r>
          </w:p>
        </w:tc>
        <w:tc>
          <w:tcPr>
            <w:tcW w:w="950" w:type="dxa"/>
            <w:vMerge w:val="continue"/>
            <w:vAlign w:val="center"/>
          </w:tcPr>
          <w:p w14:paraId="65D30DFC">
            <w:pPr>
              <w:jc w:val="center"/>
              <w:rPr>
                <w:rFonts w:ascii="宋体" w:hAnsi="宋体" w:eastAsia="宋体" w:cs="宋体"/>
                <w:color w:val="000000"/>
                <w:sz w:val="24"/>
                <w:highlight w:val="none"/>
              </w:rPr>
            </w:pPr>
          </w:p>
        </w:tc>
        <w:tc>
          <w:tcPr>
            <w:tcW w:w="1656" w:type="dxa"/>
            <w:vAlign w:val="center"/>
          </w:tcPr>
          <w:p w14:paraId="20F1C0C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★BIOS固件基础功能</w:t>
            </w:r>
          </w:p>
        </w:tc>
        <w:tc>
          <w:tcPr>
            <w:tcW w:w="3790" w:type="dxa"/>
            <w:vAlign w:val="center"/>
          </w:tcPr>
          <w:p w14:paraId="3DAD914D">
            <w:pPr>
              <w:widowControl/>
              <w:textAlignment w:val="center"/>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a）支持查看固件版本、内存信息、主板信息、处理器信息和系统时间信息功能；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b）支持上电初始化界面显示CPU信息、内存信息、固件版本和部分快捷键信息功能；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c）支持设置界面中英文显示切换功能；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d）支持查看PCIe设备信息，SATA设备信息功能；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e）支持操作系统安装和引导功能，应并向操作系统提供计算机主板信息和服务接口；</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f）支持设置启动顺序，并按照设置的启动顺序启动功能；</w:t>
            </w:r>
          </w:p>
          <w:p w14:paraId="5FFCEAC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g）支持安全启动功能；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h）支持设置口令、修改口令、验证口令功能；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i）支持板载显示控制或独立显卡的显示控制功能；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j）支持RAID识别和启动功能；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k）支持串口重定向功能；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l）支持固件更新功能；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m）支持BIOS固件设置的恢复出厂功能；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n）支持网络引导启用和关闭功能</w:t>
            </w:r>
          </w:p>
        </w:tc>
        <w:tc>
          <w:tcPr>
            <w:tcW w:w="1657" w:type="dxa"/>
            <w:noWrap/>
            <w:vAlign w:val="center"/>
          </w:tcPr>
          <w:p w14:paraId="159871A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5E5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2FEB81EB">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34</w:t>
            </w:r>
          </w:p>
        </w:tc>
        <w:tc>
          <w:tcPr>
            <w:tcW w:w="933" w:type="dxa"/>
            <w:vAlign w:val="center"/>
          </w:tcPr>
          <w:p w14:paraId="7368F36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功能要求</w:t>
            </w:r>
          </w:p>
        </w:tc>
        <w:tc>
          <w:tcPr>
            <w:tcW w:w="950" w:type="dxa"/>
            <w:vMerge w:val="continue"/>
            <w:vAlign w:val="center"/>
          </w:tcPr>
          <w:p w14:paraId="0069998E">
            <w:pPr>
              <w:jc w:val="center"/>
              <w:rPr>
                <w:rFonts w:ascii="宋体" w:hAnsi="宋体" w:eastAsia="宋体" w:cs="宋体"/>
                <w:color w:val="000000"/>
                <w:sz w:val="24"/>
                <w:highlight w:val="none"/>
              </w:rPr>
            </w:pPr>
          </w:p>
        </w:tc>
        <w:tc>
          <w:tcPr>
            <w:tcW w:w="1656" w:type="dxa"/>
            <w:vAlign w:val="center"/>
          </w:tcPr>
          <w:p w14:paraId="1D79C469">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★远程控制</w:t>
            </w:r>
          </w:p>
        </w:tc>
        <w:tc>
          <w:tcPr>
            <w:tcW w:w="3790" w:type="dxa"/>
            <w:vAlign w:val="center"/>
          </w:tcPr>
          <w:p w14:paraId="3A959822">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支持远程关机和重新启动功能</w:t>
            </w:r>
          </w:p>
        </w:tc>
        <w:tc>
          <w:tcPr>
            <w:tcW w:w="1657" w:type="dxa"/>
            <w:noWrap/>
            <w:vAlign w:val="center"/>
          </w:tcPr>
          <w:p w14:paraId="36B0528C">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6FB7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30D011D2">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35</w:t>
            </w:r>
          </w:p>
        </w:tc>
        <w:tc>
          <w:tcPr>
            <w:tcW w:w="933" w:type="dxa"/>
            <w:vAlign w:val="center"/>
          </w:tcPr>
          <w:p w14:paraId="3462221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功能要求</w:t>
            </w:r>
          </w:p>
        </w:tc>
        <w:tc>
          <w:tcPr>
            <w:tcW w:w="950" w:type="dxa"/>
            <w:vMerge w:val="restart"/>
            <w:vAlign w:val="center"/>
          </w:tcPr>
          <w:p w14:paraId="34CF9127">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操作系统及驱动功能</w:t>
            </w:r>
          </w:p>
        </w:tc>
        <w:tc>
          <w:tcPr>
            <w:tcW w:w="1656" w:type="dxa"/>
            <w:vAlign w:val="center"/>
          </w:tcPr>
          <w:p w14:paraId="74FB8361">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★操作系统及驱动的升级</w:t>
            </w:r>
          </w:p>
        </w:tc>
        <w:tc>
          <w:tcPr>
            <w:tcW w:w="3790" w:type="dxa"/>
            <w:vAlign w:val="center"/>
          </w:tcPr>
          <w:p w14:paraId="24DBFB3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支持通过网络、闪存盘对操作系统、驱动进行升级</w:t>
            </w:r>
          </w:p>
        </w:tc>
        <w:tc>
          <w:tcPr>
            <w:tcW w:w="1657" w:type="dxa"/>
            <w:noWrap/>
            <w:vAlign w:val="center"/>
          </w:tcPr>
          <w:p w14:paraId="23A37898">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7DF4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7" w:type="dxa"/>
            <w:vAlign w:val="center"/>
          </w:tcPr>
          <w:p w14:paraId="1D0A70B4">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36</w:t>
            </w:r>
          </w:p>
        </w:tc>
        <w:tc>
          <w:tcPr>
            <w:tcW w:w="933" w:type="dxa"/>
            <w:vAlign w:val="center"/>
          </w:tcPr>
          <w:p w14:paraId="1D442E1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功能要求</w:t>
            </w:r>
          </w:p>
        </w:tc>
        <w:tc>
          <w:tcPr>
            <w:tcW w:w="950" w:type="dxa"/>
            <w:vMerge w:val="continue"/>
            <w:vAlign w:val="center"/>
          </w:tcPr>
          <w:p w14:paraId="2C70527E">
            <w:pPr>
              <w:rPr>
                <w:rFonts w:ascii="宋体" w:hAnsi="宋体" w:eastAsia="宋体" w:cs="宋体"/>
                <w:color w:val="000000"/>
                <w:sz w:val="24"/>
                <w:highlight w:val="none"/>
              </w:rPr>
            </w:pPr>
          </w:p>
        </w:tc>
        <w:tc>
          <w:tcPr>
            <w:tcW w:w="1656" w:type="dxa"/>
            <w:vAlign w:val="center"/>
          </w:tcPr>
          <w:p w14:paraId="4DFDE05B">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★操作系统功能</w:t>
            </w:r>
          </w:p>
        </w:tc>
        <w:tc>
          <w:tcPr>
            <w:tcW w:w="3790" w:type="dxa"/>
            <w:vAlign w:val="center"/>
          </w:tcPr>
          <w:p w14:paraId="0E882696">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a）支持访问控制、安全审计、网络接入鉴别等功能；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b）操作系统其他功能应满足操作系统政府采购需求标准中加★的指标要求</w:t>
            </w:r>
          </w:p>
        </w:tc>
        <w:tc>
          <w:tcPr>
            <w:tcW w:w="1657" w:type="dxa"/>
            <w:noWrap/>
            <w:vAlign w:val="center"/>
          </w:tcPr>
          <w:p w14:paraId="37CC9422">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26FE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0C9F0A8C">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37</w:t>
            </w:r>
          </w:p>
        </w:tc>
        <w:tc>
          <w:tcPr>
            <w:tcW w:w="933" w:type="dxa"/>
            <w:vAlign w:val="center"/>
          </w:tcPr>
          <w:p w14:paraId="40893C7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功能要求</w:t>
            </w:r>
          </w:p>
        </w:tc>
        <w:tc>
          <w:tcPr>
            <w:tcW w:w="950" w:type="dxa"/>
            <w:vAlign w:val="center"/>
          </w:tcPr>
          <w:p w14:paraId="6D9CC02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中文信息处理功能</w:t>
            </w:r>
          </w:p>
        </w:tc>
        <w:tc>
          <w:tcPr>
            <w:tcW w:w="1656" w:type="dxa"/>
            <w:vAlign w:val="center"/>
          </w:tcPr>
          <w:p w14:paraId="26ED48A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★中文信息处理</w:t>
            </w:r>
          </w:p>
        </w:tc>
        <w:tc>
          <w:tcPr>
            <w:tcW w:w="3790" w:type="dxa"/>
            <w:vAlign w:val="center"/>
          </w:tcPr>
          <w:p w14:paraId="76FF3CF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符合GB18030的有关规定</w:t>
            </w:r>
          </w:p>
        </w:tc>
        <w:tc>
          <w:tcPr>
            <w:tcW w:w="1657" w:type="dxa"/>
            <w:noWrap/>
            <w:vAlign w:val="center"/>
          </w:tcPr>
          <w:p w14:paraId="58BB1F8C">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20E9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0C1FE6AD">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38</w:t>
            </w:r>
          </w:p>
        </w:tc>
        <w:tc>
          <w:tcPr>
            <w:tcW w:w="933" w:type="dxa"/>
            <w:vAlign w:val="center"/>
          </w:tcPr>
          <w:p w14:paraId="3469DBD6">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安全要求</w:t>
            </w:r>
          </w:p>
        </w:tc>
        <w:tc>
          <w:tcPr>
            <w:tcW w:w="950" w:type="dxa"/>
            <w:vAlign w:val="center"/>
          </w:tcPr>
          <w:p w14:paraId="53E3301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关键部件安全要求</w:t>
            </w:r>
          </w:p>
        </w:tc>
        <w:tc>
          <w:tcPr>
            <w:tcW w:w="1656" w:type="dxa"/>
            <w:vAlign w:val="center"/>
          </w:tcPr>
          <w:p w14:paraId="7216C3F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★关键部件安全要求</w:t>
            </w:r>
          </w:p>
        </w:tc>
        <w:tc>
          <w:tcPr>
            <w:tcW w:w="3790" w:type="dxa"/>
            <w:vAlign w:val="center"/>
          </w:tcPr>
          <w:p w14:paraId="76E865B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CPU和操作系统等关键部件应当符合安全可靠测评要求</w:t>
            </w:r>
          </w:p>
        </w:tc>
        <w:tc>
          <w:tcPr>
            <w:tcW w:w="1657" w:type="dxa"/>
            <w:vAlign w:val="center"/>
          </w:tcPr>
          <w:p w14:paraId="7E50F00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3692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0B293530">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39</w:t>
            </w:r>
          </w:p>
        </w:tc>
        <w:tc>
          <w:tcPr>
            <w:tcW w:w="933" w:type="dxa"/>
            <w:vAlign w:val="center"/>
          </w:tcPr>
          <w:p w14:paraId="4A635E76">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安全要求</w:t>
            </w:r>
          </w:p>
        </w:tc>
        <w:tc>
          <w:tcPr>
            <w:tcW w:w="950" w:type="dxa"/>
            <w:vAlign w:val="center"/>
          </w:tcPr>
          <w:p w14:paraId="4F60FA2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固件安全要求</w:t>
            </w:r>
          </w:p>
        </w:tc>
        <w:tc>
          <w:tcPr>
            <w:tcW w:w="1656" w:type="dxa"/>
            <w:vAlign w:val="center"/>
          </w:tcPr>
          <w:p w14:paraId="339692A3">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★故障检测</w:t>
            </w:r>
          </w:p>
        </w:tc>
        <w:tc>
          <w:tcPr>
            <w:tcW w:w="3790" w:type="dxa"/>
            <w:vAlign w:val="center"/>
          </w:tcPr>
          <w:p w14:paraId="39D2C0E3">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支持故障检测功能，可以检测到具体的FRU（内存、硬盘等）的故障并发出告警</w:t>
            </w:r>
          </w:p>
        </w:tc>
        <w:tc>
          <w:tcPr>
            <w:tcW w:w="1657" w:type="dxa"/>
            <w:vAlign w:val="center"/>
          </w:tcPr>
          <w:p w14:paraId="57B923CC">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65F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74BD2437">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40</w:t>
            </w:r>
          </w:p>
        </w:tc>
        <w:tc>
          <w:tcPr>
            <w:tcW w:w="933" w:type="dxa"/>
            <w:vAlign w:val="center"/>
          </w:tcPr>
          <w:p w14:paraId="756BF66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安全要求</w:t>
            </w:r>
          </w:p>
        </w:tc>
        <w:tc>
          <w:tcPr>
            <w:tcW w:w="950" w:type="dxa"/>
            <w:vMerge w:val="restart"/>
            <w:vAlign w:val="center"/>
          </w:tcPr>
          <w:p w14:paraId="339FA1AF">
            <w:pPr>
              <w:widowControl/>
              <w:tabs>
                <w:tab w:val="left" w:pos="340"/>
              </w:tabs>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系统安全要求</w:t>
            </w:r>
          </w:p>
        </w:tc>
        <w:tc>
          <w:tcPr>
            <w:tcW w:w="1656" w:type="dxa"/>
            <w:vAlign w:val="center"/>
          </w:tcPr>
          <w:p w14:paraId="310BE8AF">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★弱口令字典检查</w:t>
            </w:r>
          </w:p>
        </w:tc>
        <w:tc>
          <w:tcPr>
            <w:tcW w:w="3790" w:type="dxa"/>
            <w:vAlign w:val="center"/>
          </w:tcPr>
          <w:p w14:paraId="109BB80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支持弱口令字典检查功能，出现在弱口令字典中的字符串不能被设置为用户口令</w:t>
            </w:r>
          </w:p>
        </w:tc>
        <w:tc>
          <w:tcPr>
            <w:tcW w:w="1657" w:type="dxa"/>
            <w:vAlign w:val="center"/>
          </w:tcPr>
          <w:p w14:paraId="48358052">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E6C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021B2ABE">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41</w:t>
            </w:r>
          </w:p>
        </w:tc>
        <w:tc>
          <w:tcPr>
            <w:tcW w:w="933" w:type="dxa"/>
            <w:vAlign w:val="center"/>
          </w:tcPr>
          <w:p w14:paraId="38683A8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安全要求</w:t>
            </w:r>
          </w:p>
        </w:tc>
        <w:tc>
          <w:tcPr>
            <w:tcW w:w="950" w:type="dxa"/>
            <w:vMerge w:val="continue"/>
            <w:vAlign w:val="center"/>
          </w:tcPr>
          <w:p w14:paraId="1FB6CE3E">
            <w:pPr>
              <w:rPr>
                <w:rFonts w:ascii="宋体" w:hAnsi="宋体" w:eastAsia="宋体" w:cs="宋体"/>
                <w:color w:val="000000"/>
                <w:sz w:val="24"/>
                <w:highlight w:val="none"/>
              </w:rPr>
            </w:pPr>
          </w:p>
        </w:tc>
        <w:tc>
          <w:tcPr>
            <w:tcW w:w="1656" w:type="dxa"/>
            <w:vAlign w:val="center"/>
          </w:tcPr>
          <w:p w14:paraId="78E52DDC">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★白名单访问控制</w:t>
            </w:r>
          </w:p>
        </w:tc>
        <w:tc>
          <w:tcPr>
            <w:tcW w:w="3790" w:type="dxa"/>
            <w:vAlign w:val="center"/>
          </w:tcPr>
          <w:p w14:paraId="7F84294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支持基于时间、IP或MAC白名单访问控制</w:t>
            </w:r>
          </w:p>
        </w:tc>
        <w:tc>
          <w:tcPr>
            <w:tcW w:w="1657" w:type="dxa"/>
            <w:vAlign w:val="center"/>
          </w:tcPr>
          <w:p w14:paraId="4E17AC51">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72A4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7" w:type="dxa"/>
            <w:vAlign w:val="center"/>
          </w:tcPr>
          <w:p w14:paraId="72C19449">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42</w:t>
            </w:r>
          </w:p>
        </w:tc>
        <w:tc>
          <w:tcPr>
            <w:tcW w:w="933" w:type="dxa"/>
            <w:vAlign w:val="center"/>
          </w:tcPr>
          <w:p w14:paraId="3584332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安全要求</w:t>
            </w:r>
          </w:p>
        </w:tc>
        <w:tc>
          <w:tcPr>
            <w:tcW w:w="950" w:type="dxa"/>
            <w:vMerge w:val="continue"/>
            <w:vAlign w:val="center"/>
          </w:tcPr>
          <w:p w14:paraId="48FBEE15">
            <w:pPr>
              <w:rPr>
                <w:rFonts w:ascii="宋体" w:hAnsi="宋体" w:eastAsia="宋体" w:cs="宋体"/>
                <w:color w:val="000000"/>
                <w:sz w:val="24"/>
                <w:highlight w:val="none"/>
              </w:rPr>
            </w:pPr>
          </w:p>
        </w:tc>
        <w:tc>
          <w:tcPr>
            <w:tcW w:w="1656" w:type="dxa"/>
            <w:vAlign w:val="center"/>
          </w:tcPr>
          <w:p w14:paraId="1C4AB4BF">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★二次鉴别</w:t>
            </w:r>
          </w:p>
        </w:tc>
        <w:tc>
          <w:tcPr>
            <w:tcW w:w="3790" w:type="dxa"/>
            <w:vAlign w:val="center"/>
          </w:tcPr>
          <w:p w14:paraId="6689D1F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支持二次鉴别功能。对于用户配置、权限配置、公钥导入等重要的管理操作，已登录用户应通过二次鉴别后，才能执行操作</w:t>
            </w:r>
          </w:p>
        </w:tc>
        <w:tc>
          <w:tcPr>
            <w:tcW w:w="1657" w:type="dxa"/>
            <w:vAlign w:val="center"/>
          </w:tcPr>
          <w:p w14:paraId="768B0BF3">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3B83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46F7E9DE">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43</w:t>
            </w:r>
          </w:p>
        </w:tc>
        <w:tc>
          <w:tcPr>
            <w:tcW w:w="933" w:type="dxa"/>
            <w:vAlign w:val="center"/>
          </w:tcPr>
          <w:p w14:paraId="1BC3012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安全要求</w:t>
            </w:r>
          </w:p>
        </w:tc>
        <w:tc>
          <w:tcPr>
            <w:tcW w:w="950" w:type="dxa"/>
            <w:vMerge w:val="continue"/>
            <w:vAlign w:val="center"/>
          </w:tcPr>
          <w:p w14:paraId="45FC00BD">
            <w:pPr>
              <w:rPr>
                <w:rFonts w:ascii="宋体" w:hAnsi="宋体" w:eastAsia="宋体" w:cs="宋体"/>
                <w:color w:val="000000"/>
                <w:sz w:val="24"/>
                <w:highlight w:val="none"/>
              </w:rPr>
            </w:pPr>
          </w:p>
        </w:tc>
        <w:tc>
          <w:tcPr>
            <w:tcW w:w="1656" w:type="dxa"/>
            <w:vAlign w:val="center"/>
          </w:tcPr>
          <w:p w14:paraId="545422D3">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★密码证书安全加密存储</w:t>
            </w:r>
          </w:p>
        </w:tc>
        <w:tc>
          <w:tcPr>
            <w:tcW w:w="3790" w:type="dxa"/>
            <w:vAlign w:val="center"/>
          </w:tcPr>
          <w:p w14:paraId="424253D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支持对带外管理系统中的用户口令和证书等敏感信息进行加密存储，禁止使用私有的和业界已知不安全的密码算法</w:t>
            </w:r>
          </w:p>
        </w:tc>
        <w:tc>
          <w:tcPr>
            <w:tcW w:w="1657" w:type="dxa"/>
            <w:vAlign w:val="center"/>
          </w:tcPr>
          <w:p w14:paraId="27F7F2EB">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472D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17C52C34">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44</w:t>
            </w:r>
          </w:p>
        </w:tc>
        <w:tc>
          <w:tcPr>
            <w:tcW w:w="933" w:type="dxa"/>
            <w:vAlign w:val="center"/>
          </w:tcPr>
          <w:p w14:paraId="4D368AA2">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安全要求</w:t>
            </w:r>
          </w:p>
        </w:tc>
        <w:tc>
          <w:tcPr>
            <w:tcW w:w="950" w:type="dxa"/>
            <w:vMerge w:val="continue"/>
            <w:vAlign w:val="center"/>
          </w:tcPr>
          <w:p w14:paraId="5268B856">
            <w:pPr>
              <w:rPr>
                <w:rFonts w:ascii="宋体" w:hAnsi="宋体" w:eastAsia="宋体" w:cs="宋体"/>
                <w:color w:val="000000"/>
                <w:sz w:val="24"/>
                <w:highlight w:val="none"/>
              </w:rPr>
            </w:pPr>
          </w:p>
        </w:tc>
        <w:tc>
          <w:tcPr>
            <w:tcW w:w="1656" w:type="dxa"/>
            <w:vAlign w:val="center"/>
          </w:tcPr>
          <w:p w14:paraId="525A3D0C">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★敏感信息安全加密传输</w:t>
            </w:r>
          </w:p>
        </w:tc>
        <w:tc>
          <w:tcPr>
            <w:tcW w:w="3790" w:type="dxa"/>
            <w:vAlign w:val="center"/>
          </w:tcPr>
          <w:p w14:paraId="2396C81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支持使用安全的传输加密协议（如SSH或HTTPS等）传输用户的敏感信息</w:t>
            </w:r>
          </w:p>
        </w:tc>
        <w:tc>
          <w:tcPr>
            <w:tcW w:w="1657" w:type="dxa"/>
            <w:vAlign w:val="center"/>
          </w:tcPr>
          <w:p w14:paraId="35252EAD">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81E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27" w:type="dxa"/>
            <w:vAlign w:val="center"/>
          </w:tcPr>
          <w:p w14:paraId="1E10424F">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45</w:t>
            </w:r>
          </w:p>
        </w:tc>
        <w:tc>
          <w:tcPr>
            <w:tcW w:w="933" w:type="dxa"/>
            <w:vAlign w:val="center"/>
          </w:tcPr>
          <w:p w14:paraId="76F49643">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安全要求</w:t>
            </w:r>
          </w:p>
        </w:tc>
        <w:tc>
          <w:tcPr>
            <w:tcW w:w="950" w:type="dxa"/>
            <w:vAlign w:val="center"/>
          </w:tcPr>
          <w:p w14:paraId="255FE4E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信息安全要求</w:t>
            </w:r>
          </w:p>
        </w:tc>
        <w:tc>
          <w:tcPr>
            <w:tcW w:w="1656" w:type="dxa"/>
            <w:vAlign w:val="center"/>
          </w:tcPr>
          <w:p w14:paraId="36F7395B">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★研发过程安全</w:t>
            </w:r>
          </w:p>
        </w:tc>
        <w:tc>
          <w:tcPr>
            <w:tcW w:w="3790" w:type="dxa"/>
            <w:vAlign w:val="center"/>
          </w:tcPr>
          <w:p w14:paraId="728C437F">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1657" w:type="dxa"/>
            <w:vAlign w:val="center"/>
          </w:tcPr>
          <w:p w14:paraId="2F8B32E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5DB7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7601954C">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46</w:t>
            </w:r>
          </w:p>
        </w:tc>
        <w:tc>
          <w:tcPr>
            <w:tcW w:w="933" w:type="dxa"/>
            <w:vAlign w:val="center"/>
          </w:tcPr>
          <w:p w14:paraId="261847C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安全要求</w:t>
            </w:r>
          </w:p>
        </w:tc>
        <w:tc>
          <w:tcPr>
            <w:tcW w:w="950" w:type="dxa"/>
            <w:vAlign w:val="center"/>
          </w:tcPr>
          <w:p w14:paraId="5AEE6407">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物理安全</w:t>
            </w:r>
          </w:p>
        </w:tc>
        <w:tc>
          <w:tcPr>
            <w:tcW w:w="1656" w:type="dxa"/>
            <w:vAlign w:val="center"/>
          </w:tcPr>
          <w:p w14:paraId="3B046C93">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★物理安全</w:t>
            </w:r>
          </w:p>
        </w:tc>
        <w:tc>
          <w:tcPr>
            <w:tcW w:w="3790" w:type="dxa"/>
            <w:vAlign w:val="center"/>
          </w:tcPr>
          <w:p w14:paraId="7F24D3D2">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安全要求应符合GB4943.1的规定</w:t>
            </w:r>
          </w:p>
        </w:tc>
        <w:tc>
          <w:tcPr>
            <w:tcW w:w="1657" w:type="dxa"/>
            <w:vAlign w:val="center"/>
          </w:tcPr>
          <w:p w14:paraId="003640A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3B4F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509ACD34">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47</w:t>
            </w:r>
          </w:p>
        </w:tc>
        <w:tc>
          <w:tcPr>
            <w:tcW w:w="933" w:type="dxa"/>
            <w:vAlign w:val="center"/>
          </w:tcPr>
          <w:p w14:paraId="6E28D65F">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安全要求</w:t>
            </w:r>
          </w:p>
        </w:tc>
        <w:tc>
          <w:tcPr>
            <w:tcW w:w="950" w:type="dxa"/>
            <w:vAlign w:val="center"/>
          </w:tcPr>
          <w:p w14:paraId="6E5D8272">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限用物质的限量要求</w:t>
            </w:r>
          </w:p>
        </w:tc>
        <w:tc>
          <w:tcPr>
            <w:tcW w:w="1656" w:type="dxa"/>
            <w:vAlign w:val="center"/>
          </w:tcPr>
          <w:p w14:paraId="41B802F2">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★限用物质的限量要求</w:t>
            </w:r>
          </w:p>
        </w:tc>
        <w:tc>
          <w:tcPr>
            <w:tcW w:w="3790" w:type="dxa"/>
            <w:vAlign w:val="center"/>
          </w:tcPr>
          <w:p w14:paraId="5F88A0A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限用物质的限量应符合GB/T26572的要求</w:t>
            </w:r>
          </w:p>
        </w:tc>
        <w:tc>
          <w:tcPr>
            <w:tcW w:w="1657" w:type="dxa"/>
            <w:vAlign w:val="center"/>
          </w:tcPr>
          <w:p w14:paraId="0EFC8292">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F48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1D3AE365">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48</w:t>
            </w:r>
          </w:p>
        </w:tc>
        <w:tc>
          <w:tcPr>
            <w:tcW w:w="933" w:type="dxa"/>
            <w:vAlign w:val="center"/>
          </w:tcPr>
          <w:p w14:paraId="436D0E5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性能要求</w:t>
            </w:r>
          </w:p>
        </w:tc>
        <w:tc>
          <w:tcPr>
            <w:tcW w:w="950" w:type="dxa"/>
            <w:vMerge w:val="restart"/>
            <w:vAlign w:val="center"/>
          </w:tcPr>
          <w:p w14:paraId="467570A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CPU性能</w:t>
            </w:r>
          </w:p>
        </w:tc>
        <w:tc>
          <w:tcPr>
            <w:tcW w:w="1656" w:type="dxa"/>
            <w:vAlign w:val="center"/>
          </w:tcPr>
          <w:p w14:paraId="71D6ABD3">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★CPU主频</w:t>
            </w:r>
          </w:p>
        </w:tc>
        <w:tc>
          <w:tcPr>
            <w:tcW w:w="3790" w:type="dxa"/>
            <w:vAlign w:val="center"/>
          </w:tcPr>
          <w:p w14:paraId="20309B3F">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≥1.8GHz</w:t>
            </w:r>
          </w:p>
        </w:tc>
        <w:tc>
          <w:tcPr>
            <w:tcW w:w="1657" w:type="dxa"/>
            <w:vAlign w:val="center"/>
          </w:tcPr>
          <w:p w14:paraId="6BC4C01C">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7845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50DD3A04">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49</w:t>
            </w:r>
          </w:p>
        </w:tc>
        <w:tc>
          <w:tcPr>
            <w:tcW w:w="933" w:type="dxa"/>
            <w:vAlign w:val="center"/>
          </w:tcPr>
          <w:p w14:paraId="267D87B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性能要求</w:t>
            </w:r>
          </w:p>
        </w:tc>
        <w:tc>
          <w:tcPr>
            <w:tcW w:w="950" w:type="dxa"/>
            <w:vMerge w:val="continue"/>
            <w:vAlign w:val="center"/>
          </w:tcPr>
          <w:p w14:paraId="48A2B737">
            <w:pPr>
              <w:rPr>
                <w:rFonts w:ascii="宋体" w:hAnsi="宋体" w:eastAsia="宋体" w:cs="宋体"/>
                <w:color w:val="000000"/>
                <w:sz w:val="24"/>
                <w:highlight w:val="none"/>
              </w:rPr>
            </w:pPr>
          </w:p>
        </w:tc>
        <w:tc>
          <w:tcPr>
            <w:tcW w:w="1656" w:type="dxa"/>
            <w:vAlign w:val="center"/>
          </w:tcPr>
          <w:p w14:paraId="2667AB2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★单CPU核数</w:t>
            </w:r>
          </w:p>
        </w:tc>
        <w:tc>
          <w:tcPr>
            <w:tcW w:w="3790" w:type="dxa"/>
            <w:vAlign w:val="center"/>
          </w:tcPr>
          <w:p w14:paraId="277F49FF">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w:t>
            </w:r>
          </w:p>
        </w:tc>
        <w:tc>
          <w:tcPr>
            <w:tcW w:w="1657" w:type="dxa"/>
            <w:vAlign w:val="center"/>
          </w:tcPr>
          <w:p w14:paraId="7A1F9DCE">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AB1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457BABC4">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50</w:t>
            </w:r>
          </w:p>
        </w:tc>
        <w:tc>
          <w:tcPr>
            <w:tcW w:w="933" w:type="dxa"/>
            <w:vAlign w:val="center"/>
          </w:tcPr>
          <w:p w14:paraId="23C7330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性能要求</w:t>
            </w:r>
          </w:p>
        </w:tc>
        <w:tc>
          <w:tcPr>
            <w:tcW w:w="950" w:type="dxa"/>
            <w:vMerge w:val="continue"/>
            <w:vAlign w:val="center"/>
          </w:tcPr>
          <w:p w14:paraId="1A97D859">
            <w:pPr>
              <w:rPr>
                <w:rFonts w:ascii="宋体" w:hAnsi="宋体" w:eastAsia="宋体" w:cs="宋体"/>
                <w:color w:val="000000"/>
                <w:sz w:val="24"/>
                <w:highlight w:val="none"/>
              </w:rPr>
            </w:pPr>
          </w:p>
        </w:tc>
        <w:tc>
          <w:tcPr>
            <w:tcW w:w="1656" w:type="dxa"/>
            <w:vAlign w:val="center"/>
          </w:tcPr>
          <w:p w14:paraId="6547FE5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★单CPU末级缓存容量</w:t>
            </w:r>
          </w:p>
        </w:tc>
        <w:tc>
          <w:tcPr>
            <w:tcW w:w="3790" w:type="dxa"/>
            <w:vAlign w:val="center"/>
          </w:tcPr>
          <w:p w14:paraId="77ABBE39">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≥8MB</w:t>
            </w:r>
          </w:p>
        </w:tc>
        <w:tc>
          <w:tcPr>
            <w:tcW w:w="1657" w:type="dxa"/>
            <w:vAlign w:val="center"/>
          </w:tcPr>
          <w:p w14:paraId="62FAA296">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4779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7" w:type="dxa"/>
            <w:vAlign w:val="center"/>
          </w:tcPr>
          <w:p w14:paraId="399741BC">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51</w:t>
            </w:r>
          </w:p>
        </w:tc>
        <w:tc>
          <w:tcPr>
            <w:tcW w:w="933" w:type="dxa"/>
            <w:vAlign w:val="center"/>
          </w:tcPr>
          <w:p w14:paraId="57FDD3C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性能要求</w:t>
            </w:r>
          </w:p>
        </w:tc>
        <w:tc>
          <w:tcPr>
            <w:tcW w:w="950" w:type="dxa"/>
            <w:vMerge w:val="restart"/>
            <w:vAlign w:val="center"/>
          </w:tcPr>
          <w:p w14:paraId="6AE3E47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内存性能</w:t>
            </w:r>
          </w:p>
        </w:tc>
        <w:tc>
          <w:tcPr>
            <w:tcW w:w="1656" w:type="dxa"/>
            <w:vAlign w:val="center"/>
          </w:tcPr>
          <w:p w14:paraId="45D5744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单内存模块容量</w:t>
            </w:r>
          </w:p>
        </w:tc>
        <w:tc>
          <w:tcPr>
            <w:tcW w:w="3790" w:type="dxa"/>
            <w:vAlign w:val="center"/>
          </w:tcPr>
          <w:p w14:paraId="4C95D33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≥16GB</w:t>
            </w:r>
          </w:p>
        </w:tc>
        <w:tc>
          <w:tcPr>
            <w:tcW w:w="1657" w:type="dxa"/>
            <w:vAlign w:val="center"/>
          </w:tcPr>
          <w:p w14:paraId="628539CE">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F86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253B9529">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52</w:t>
            </w:r>
          </w:p>
        </w:tc>
        <w:tc>
          <w:tcPr>
            <w:tcW w:w="933" w:type="dxa"/>
            <w:vAlign w:val="center"/>
          </w:tcPr>
          <w:p w14:paraId="27C097AB">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性能要求</w:t>
            </w:r>
          </w:p>
        </w:tc>
        <w:tc>
          <w:tcPr>
            <w:tcW w:w="950" w:type="dxa"/>
            <w:vMerge w:val="continue"/>
            <w:vAlign w:val="center"/>
          </w:tcPr>
          <w:p w14:paraId="695C4B7D">
            <w:pPr>
              <w:rPr>
                <w:rFonts w:ascii="宋体" w:hAnsi="宋体" w:eastAsia="宋体" w:cs="宋体"/>
                <w:color w:val="000000"/>
                <w:sz w:val="24"/>
                <w:highlight w:val="none"/>
              </w:rPr>
            </w:pPr>
          </w:p>
        </w:tc>
        <w:tc>
          <w:tcPr>
            <w:tcW w:w="1656" w:type="dxa"/>
            <w:vAlign w:val="center"/>
          </w:tcPr>
          <w:p w14:paraId="18A51397">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★内存速率</w:t>
            </w:r>
          </w:p>
        </w:tc>
        <w:tc>
          <w:tcPr>
            <w:tcW w:w="3790" w:type="dxa"/>
            <w:vAlign w:val="center"/>
          </w:tcPr>
          <w:p w14:paraId="5A85B3E9">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≥2666MT/s</w:t>
            </w:r>
          </w:p>
        </w:tc>
        <w:tc>
          <w:tcPr>
            <w:tcW w:w="1657" w:type="dxa"/>
            <w:vAlign w:val="center"/>
          </w:tcPr>
          <w:p w14:paraId="6F9131C6">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3978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16FF3133">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53</w:t>
            </w:r>
          </w:p>
        </w:tc>
        <w:tc>
          <w:tcPr>
            <w:tcW w:w="933" w:type="dxa"/>
            <w:vAlign w:val="center"/>
          </w:tcPr>
          <w:p w14:paraId="78AE15A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性能要求</w:t>
            </w:r>
          </w:p>
        </w:tc>
        <w:tc>
          <w:tcPr>
            <w:tcW w:w="950" w:type="dxa"/>
            <w:vAlign w:val="center"/>
          </w:tcPr>
          <w:p w14:paraId="79A68796">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电源能耗</w:t>
            </w:r>
          </w:p>
        </w:tc>
        <w:tc>
          <w:tcPr>
            <w:tcW w:w="1656" w:type="dxa"/>
            <w:vAlign w:val="center"/>
          </w:tcPr>
          <w:p w14:paraId="7129C7E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★电源能耗</w:t>
            </w:r>
          </w:p>
        </w:tc>
        <w:tc>
          <w:tcPr>
            <w:tcW w:w="3790" w:type="dxa"/>
            <w:vAlign w:val="center"/>
          </w:tcPr>
          <w:p w14:paraId="3C1C6BD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符合GB/T9813.3的有关规定</w:t>
            </w:r>
          </w:p>
        </w:tc>
        <w:tc>
          <w:tcPr>
            <w:tcW w:w="1657" w:type="dxa"/>
            <w:vAlign w:val="center"/>
          </w:tcPr>
          <w:p w14:paraId="2B291015">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8B3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0988A1FC">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54</w:t>
            </w:r>
          </w:p>
        </w:tc>
        <w:tc>
          <w:tcPr>
            <w:tcW w:w="933" w:type="dxa"/>
            <w:vAlign w:val="center"/>
          </w:tcPr>
          <w:p w14:paraId="59427C5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兼容要求</w:t>
            </w:r>
          </w:p>
        </w:tc>
        <w:tc>
          <w:tcPr>
            <w:tcW w:w="950" w:type="dxa"/>
            <w:vMerge w:val="restart"/>
            <w:vAlign w:val="center"/>
          </w:tcPr>
          <w:p w14:paraId="5913D0F6">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部件兼容性要求</w:t>
            </w:r>
          </w:p>
        </w:tc>
        <w:tc>
          <w:tcPr>
            <w:tcW w:w="1656" w:type="dxa"/>
            <w:noWrap/>
            <w:vAlign w:val="center"/>
          </w:tcPr>
          <w:p w14:paraId="69EC01CC">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★内存兼容性</w:t>
            </w:r>
          </w:p>
        </w:tc>
        <w:tc>
          <w:tcPr>
            <w:tcW w:w="3790" w:type="dxa"/>
            <w:vAlign w:val="center"/>
          </w:tcPr>
          <w:p w14:paraId="77DF0A42">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适配3种及以上厂商的内存产品，且均不低于产品支持的内存规格</w:t>
            </w:r>
          </w:p>
        </w:tc>
        <w:tc>
          <w:tcPr>
            <w:tcW w:w="1657" w:type="dxa"/>
            <w:vAlign w:val="center"/>
          </w:tcPr>
          <w:p w14:paraId="383530D8">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651D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7B76D3B3">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55</w:t>
            </w:r>
          </w:p>
        </w:tc>
        <w:tc>
          <w:tcPr>
            <w:tcW w:w="933" w:type="dxa"/>
            <w:vAlign w:val="center"/>
          </w:tcPr>
          <w:p w14:paraId="35BAC03C">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兼容要求</w:t>
            </w:r>
          </w:p>
        </w:tc>
        <w:tc>
          <w:tcPr>
            <w:tcW w:w="950" w:type="dxa"/>
            <w:vMerge w:val="continue"/>
            <w:vAlign w:val="center"/>
          </w:tcPr>
          <w:p w14:paraId="7E45C838">
            <w:pPr>
              <w:rPr>
                <w:rFonts w:ascii="宋体" w:hAnsi="宋体" w:eastAsia="宋体" w:cs="宋体"/>
                <w:color w:val="000000"/>
                <w:sz w:val="24"/>
                <w:highlight w:val="none"/>
              </w:rPr>
            </w:pPr>
          </w:p>
        </w:tc>
        <w:tc>
          <w:tcPr>
            <w:tcW w:w="1656" w:type="dxa"/>
            <w:vAlign w:val="center"/>
          </w:tcPr>
          <w:p w14:paraId="38D20943">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★固态存储兼容性</w:t>
            </w:r>
          </w:p>
        </w:tc>
        <w:tc>
          <w:tcPr>
            <w:tcW w:w="3790" w:type="dxa"/>
            <w:vAlign w:val="center"/>
          </w:tcPr>
          <w:p w14:paraId="2CB07796">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适配3种或以上厂商的固态存储产品，且均不低于产品支持的固态存储设备规格</w:t>
            </w:r>
          </w:p>
        </w:tc>
        <w:tc>
          <w:tcPr>
            <w:tcW w:w="1657" w:type="dxa"/>
            <w:vAlign w:val="center"/>
          </w:tcPr>
          <w:p w14:paraId="14EDA887">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192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08A3DE43">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56</w:t>
            </w:r>
          </w:p>
        </w:tc>
        <w:tc>
          <w:tcPr>
            <w:tcW w:w="933" w:type="dxa"/>
            <w:vAlign w:val="center"/>
          </w:tcPr>
          <w:p w14:paraId="673077C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兼容要求</w:t>
            </w:r>
          </w:p>
        </w:tc>
        <w:tc>
          <w:tcPr>
            <w:tcW w:w="950" w:type="dxa"/>
            <w:vMerge w:val="continue"/>
            <w:vAlign w:val="center"/>
          </w:tcPr>
          <w:p w14:paraId="1380B664">
            <w:pPr>
              <w:rPr>
                <w:rFonts w:ascii="宋体" w:hAnsi="宋体" w:eastAsia="宋体" w:cs="宋体"/>
                <w:color w:val="000000"/>
                <w:sz w:val="24"/>
                <w:highlight w:val="none"/>
              </w:rPr>
            </w:pPr>
          </w:p>
        </w:tc>
        <w:tc>
          <w:tcPr>
            <w:tcW w:w="1656" w:type="dxa"/>
            <w:vAlign w:val="center"/>
          </w:tcPr>
          <w:p w14:paraId="43B25CA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★网卡兼容性</w:t>
            </w:r>
          </w:p>
        </w:tc>
        <w:tc>
          <w:tcPr>
            <w:tcW w:w="3790" w:type="dxa"/>
            <w:vAlign w:val="center"/>
          </w:tcPr>
          <w:p w14:paraId="43583BE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网卡应适配两种或以上厂商产品</w:t>
            </w:r>
          </w:p>
        </w:tc>
        <w:tc>
          <w:tcPr>
            <w:tcW w:w="1657" w:type="dxa"/>
            <w:vAlign w:val="center"/>
          </w:tcPr>
          <w:p w14:paraId="6175D51D">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A36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36014526">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57</w:t>
            </w:r>
          </w:p>
        </w:tc>
        <w:tc>
          <w:tcPr>
            <w:tcW w:w="933" w:type="dxa"/>
            <w:vAlign w:val="center"/>
          </w:tcPr>
          <w:p w14:paraId="06CEDC37">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兼容要求</w:t>
            </w:r>
          </w:p>
        </w:tc>
        <w:tc>
          <w:tcPr>
            <w:tcW w:w="950" w:type="dxa"/>
            <w:vMerge w:val="continue"/>
            <w:vAlign w:val="center"/>
          </w:tcPr>
          <w:p w14:paraId="383B2B4F">
            <w:pPr>
              <w:rPr>
                <w:rFonts w:ascii="宋体" w:hAnsi="宋体" w:eastAsia="宋体" w:cs="宋体"/>
                <w:color w:val="000000"/>
                <w:sz w:val="24"/>
                <w:highlight w:val="none"/>
              </w:rPr>
            </w:pPr>
          </w:p>
        </w:tc>
        <w:tc>
          <w:tcPr>
            <w:tcW w:w="1656" w:type="dxa"/>
            <w:vAlign w:val="center"/>
          </w:tcPr>
          <w:p w14:paraId="2909577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★功能卡兼容性</w:t>
            </w:r>
          </w:p>
        </w:tc>
        <w:tc>
          <w:tcPr>
            <w:tcW w:w="3790" w:type="dxa"/>
            <w:vAlign w:val="center"/>
          </w:tcPr>
          <w:p w14:paraId="75ABDA3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内置或适配符合PCIe的功能卡，如：网络功能卡、存储功能卡及图形显示功能卡</w:t>
            </w:r>
          </w:p>
        </w:tc>
        <w:tc>
          <w:tcPr>
            <w:tcW w:w="1657" w:type="dxa"/>
            <w:vAlign w:val="center"/>
          </w:tcPr>
          <w:p w14:paraId="6A6B561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694D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7" w:type="dxa"/>
            <w:vAlign w:val="center"/>
          </w:tcPr>
          <w:p w14:paraId="0FF6ED93">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58</w:t>
            </w:r>
          </w:p>
        </w:tc>
        <w:tc>
          <w:tcPr>
            <w:tcW w:w="933" w:type="dxa"/>
            <w:vAlign w:val="center"/>
          </w:tcPr>
          <w:p w14:paraId="3C5E197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兼容要求</w:t>
            </w:r>
          </w:p>
        </w:tc>
        <w:tc>
          <w:tcPr>
            <w:tcW w:w="950" w:type="dxa"/>
            <w:vAlign w:val="center"/>
          </w:tcPr>
          <w:p w14:paraId="4897BB8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外设兼容性</w:t>
            </w:r>
          </w:p>
        </w:tc>
        <w:tc>
          <w:tcPr>
            <w:tcW w:w="1656" w:type="dxa"/>
            <w:vAlign w:val="center"/>
          </w:tcPr>
          <w:p w14:paraId="273FC633">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★外设兼容性</w:t>
            </w:r>
          </w:p>
        </w:tc>
        <w:tc>
          <w:tcPr>
            <w:tcW w:w="3790" w:type="dxa"/>
            <w:vAlign w:val="center"/>
          </w:tcPr>
          <w:p w14:paraId="3574167B">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兼容多种主流生产商的外部设备，包括显示器、键盘、鼠标、闪存盘、移动硬盘、USB光驱及KVM等，要求使用不同厂商的外部设备时，系统均能正常识别和安装驱动</w:t>
            </w:r>
          </w:p>
        </w:tc>
        <w:tc>
          <w:tcPr>
            <w:tcW w:w="1657" w:type="dxa"/>
            <w:vAlign w:val="center"/>
          </w:tcPr>
          <w:p w14:paraId="70D4E90B">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3E48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5FA5993D">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59</w:t>
            </w:r>
          </w:p>
        </w:tc>
        <w:tc>
          <w:tcPr>
            <w:tcW w:w="933" w:type="dxa"/>
            <w:vAlign w:val="center"/>
          </w:tcPr>
          <w:p w14:paraId="101058D7">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兼容要求</w:t>
            </w:r>
          </w:p>
        </w:tc>
        <w:tc>
          <w:tcPr>
            <w:tcW w:w="950" w:type="dxa"/>
            <w:vMerge w:val="restart"/>
            <w:vAlign w:val="center"/>
          </w:tcPr>
          <w:p w14:paraId="694CF6CC">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软件兼容性</w:t>
            </w:r>
          </w:p>
        </w:tc>
        <w:tc>
          <w:tcPr>
            <w:tcW w:w="1656" w:type="dxa"/>
            <w:vAlign w:val="center"/>
          </w:tcPr>
          <w:p w14:paraId="327C665F">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★数据库兼容</w:t>
            </w:r>
          </w:p>
        </w:tc>
        <w:tc>
          <w:tcPr>
            <w:tcW w:w="3790" w:type="dxa"/>
            <w:vAlign w:val="center"/>
          </w:tcPr>
          <w:p w14:paraId="2EBFAC0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兼容3个及以上厂商的数据库产品</w:t>
            </w:r>
          </w:p>
        </w:tc>
        <w:tc>
          <w:tcPr>
            <w:tcW w:w="1657" w:type="dxa"/>
            <w:vAlign w:val="center"/>
          </w:tcPr>
          <w:p w14:paraId="1566D9A0">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590E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6432D035">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60</w:t>
            </w:r>
          </w:p>
        </w:tc>
        <w:tc>
          <w:tcPr>
            <w:tcW w:w="933" w:type="dxa"/>
            <w:vAlign w:val="center"/>
          </w:tcPr>
          <w:p w14:paraId="4F768293">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兼容要求</w:t>
            </w:r>
          </w:p>
        </w:tc>
        <w:tc>
          <w:tcPr>
            <w:tcW w:w="950" w:type="dxa"/>
            <w:vMerge w:val="continue"/>
            <w:vAlign w:val="center"/>
          </w:tcPr>
          <w:p w14:paraId="6ADEFA9F">
            <w:pPr>
              <w:rPr>
                <w:rFonts w:ascii="宋体" w:hAnsi="宋体" w:eastAsia="宋体" w:cs="宋体"/>
                <w:color w:val="000000"/>
                <w:sz w:val="24"/>
                <w:highlight w:val="none"/>
              </w:rPr>
            </w:pPr>
          </w:p>
        </w:tc>
        <w:tc>
          <w:tcPr>
            <w:tcW w:w="1656" w:type="dxa"/>
            <w:vAlign w:val="center"/>
          </w:tcPr>
          <w:p w14:paraId="26B17A1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★中间件兼容</w:t>
            </w:r>
          </w:p>
        </w:tc>
        <w:tc>
          <w:tcPr>
            <w:tcW w:w="3790" w:type="dxa"/>
            <w:vAlign w:val="center"/>
          </w:tcPr>
          <w:p w14:paraId="391A5933">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兼容3个及以上厂商的中间件产品</w:t>
            </w:r>
          </w:p>
        </w:tc>
        <w:tc>
          <w:tcPr>
            <w:tcW w:w="1657" w:type="dxa"/>
            <w:vAlign w:val="center"/>
          </w:tcPr>
          <w:p w14:paraId="238BD757">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27A8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39694809">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61</w:t>
            </w:r>
          </w:p>
        </w:tc>
        <w:tc>
          <w:tcPr>
            <w:tcW w:w="933" w:type="dxa"/>
            <w:vAlign w:val="center"/>
          </w:tcPr>
          <w:p w14:paraId="1268085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兼容要求</w:t>
            </w:r>
          </w:p>
        </w:tc>
        <w:tc>
          <w:tcPr>
            <w:tcW w:w="950" w:type="dxa"/>
            <w:vMerge w:val="continue"/>
            <w:vAlign w:val="center"/>
          </w:tcPr>
          <w:p w14:paraId="7AF77962">
            <w:pPr>
              <w:rPr>
                <w:rFonts w:ascii="宋体" w:hAnsi="宋体" w:eastAsia="宋体" w:cs="宋体"/>
                <w:color w:val="000000"/>
                <w:sz w:val="24"/>
                <w:highlight w:val="none"/>
              </w:rPr>
            </w:pPr>
          </w:p>
        </w:tc>
        <w:tc>
          <w:tcPr>
            <w:tcW w:w="1656" w:type="dxa"/>
            <w:vAlign w:val="center"/>
          </w:tcPr>
          <w:p w14:paraId="644DF55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★平台软件兼容</w:t>
            </w:r>
          </w:p>
        </w:tc>
        <w:tc>
          <w:tcPr>
            <w:tcW w:w="3790" w:type="dxa"/>
            <w:vAlign w:val="center"/>
          </w:tcPr>
          <w:p w14:paraId="265577E7">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兼容3个及以上厂商的大数据平台</w:t>
            </w:r>
          </w:p>
        </w:tc>
        <w:tc>
          <w:tcPr>
            <w:tcW w:w="1657" w:type="dxa"/>
            <w:vAlign w:val="center"/>
          </w:tcPr>
          <w:p w14:paraId="5D6B0F50">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859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42E5355B">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62</w:t>
            </w:r>
          </w:p>
        </w:tc>
        <w:tc>
          <w:tcPr>
            <w:tcW w:w="933" w:type="dxa"/>
            <w:vAlign w:val="center"/>
          </w:tcPr>
          <w:p w14:paraId="3FC5DEB2">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可靠性要求</w:t>
            </w:r>
          </w:p>
        </w:tc>
        <w:tc>
          <w:tcPr>
            <w:tcW w:w="950" w:type="dxa"/>
            <w:vMerge w:val="restart"/>
            <w:vAlign w:val="center"/>
          </w:tcPr>
          <w:p w14:paraId="7611D4A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整机可靠性要求</w:t>
            </w:r>
          </w:p>
        </w:tc>
        <w:tc>
          <w:tcPr>
            <w:tcW w:w="1656" w:type="dxa"/>
            <w:vAlign w:val="center"/>
          </w:tcPr>
          <w:p w14:paraId="4E2637A7">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★整机可靠性</w:t>
            </w:r>
          </w:p>
        </w:tc>
        <w:tc>
          <w:tcPr>
            <w:tcW w:w="3790" w:type="dxa"/>
            <w:vAlign w:val="center"/>
          </w:tcPr>
          <w:p w14:paraId="4A8E09D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m1值（MTBF的不可接受值）不得低于30000h</w:t>
            </w:r>
          </w:p>
        </w:tc>
        <w:tc>
          <w:tcPr>
            <w:tcW w:w="1657" w:type="dxa"/>
            <w:vAlign w:val="center"/>
          </w:tcPr>
          <w:p w14:paraId="5C077E3B">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60AE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6C00CC3C">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63</w:t>
            </w:r>
          </w:p>
        </w:tc>
        <w:tc>
          <w:tcPr>
            <w:tcW w:w="933" w:type="dxa"/>
            <w:vAlign w:val="center"/>
          </w:tcPr>
          <w:p w14:paraId="5B95B476">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可靠性要求</w:t>
            </w:r>
          </w:p>
        </w:tc>
        <w:tc>
          <w:tcPr>
            <w:tcW w:w="950" w:type="dxa"/>
            <w:vMerge w:val="continue"/>
            <w:vAlign w:val="center"/>
          </w:tcPr>
          <w:p w14:paraId="4F9B8646">
            <w:pPr>
              <w:rPr>
                <w:rFonts w:ascii="宋体" w:hAnsi="宋体" w:eastAsia="宋体" w:cs="宋体"/>
                <w:color w:val="000000"/>
                <w:sz w:val="24"/>
                <w:highlight w:val="none"/>
              </w:rPr>
            </w:pPr>
          </w:p>
        </w:tc>
        <w:tc>
          <w:tcPr>
            <w:tcW w:w="1656" w:type="dxa"/>
            <w:vAlign w:val="center"/>
          </w:tcPr>
          <w:p w14:paraId="771D519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★风扇可靠性</w:t>
            </w:r>
          </w:p>
        </w:tc>
        <w:tc>
          <w:tcPr>
            <w:tcW w:w="3790" w:type="dxa"/>
            <w:vAlign w:val="center"/>
          </w:tcPr>
          <w:p w14:paraId="1CAFF32B">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风扇寿命应不低于40000h</w:t>
            </w:r>
          </w:p>
        </w:tc>
        <w:tc>
          <w:tcPr>
            <w:tcW w:w="1657" w:type="dxa"/>
            <w:vAlign w:val="center"/>
          </w:tcPr>
          <w:p w14:paraId="595B574A">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5BC2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70FFA14D">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64</w:t>
            </w:r>
          </w:p>
        </w:tc>
        <w:tc>
          <w:tcPr>
            <w:tcW w:w="933" w:type="dxa"/>
            <w:vAlign w:val="center"/>
          </w:tcPr>
          <w:p w14:paraId="57CCD50F">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可靠性要求</w:t>
            </w:r>
          </w:p>
        </w:tc>
        <w:tc>
          <w:tcPr>
            <w:tcW w:w="950" w:type="dxa"/>
            <w:vMerge w:val="continue"/>
            <w:vAlign w:val="center"/>
          </w:tcPr>
          <w:p w14:paraId="714E2F87">
            <w:pPr>
              <w:rPr>
                <w:rFonts w:ascii="宋体" w:hAnsi="宋体" w:eastAsia="宋体" w:cs="宋体"/>
                <w:color w:val="000000"/>
                <w:sz w:val="24"/>
                <w:highlight w:val="none"/>
              </w:rPr>
            </w:pPr>
          </w:p>
        </w:tc>
        <w:tc>
          <w:tcPr>
            <w:tcW w:w="1656" w:type="dxa"/>
            <w:vAlign w:val="center"/>
          </w:tcPr>
          <w:p w14:paraId="7A0F3E8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★部件可靠性</w:t>
            </w:r>
          </w:p>
        </w:tc>
        <w:tc>
          <w:tcPr>
            <w:tcW w:w="3790" w:type="dxa"/>
            <w:vAlign w:val="center"/>
          </w:tcPr>
          <w:p w14:paraId="0A5C4211">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支持硬盘、电源、风扇热插拔（内置风扇除外）</w:t>
            </w:r>
          </w:p>
        </w:tc>
        <w:tc>
          <w:tcPr>
            <w:tcW w:w="1657" w:type="dxa"/>
            <w:vAlign w:val="center"/>
          </w:tcPr>
          <w:p w14:paraId="202386E1">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44FF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048BBAAA">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65</w:t>
            </w:r>
          </w:p>
        </w:tc>
        <w:tc>
          <w:tcPr>
            <w:tcW w:w="933" w:type="dxa"/>
            <w:vAlign w:val="center"/>
          </w:tcPr>
          <w:p w14:paraId="715FD31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包装及运输要求</w:t>
            </w:r>
          </w:p>
        </w:tc>
        <w:tc>
          <w:tcPr>
            <w:tcW w:w="950" w:type="dxa"/>
            <w:vAlign w:val="center"/>
          </w:tcPr>
          <w:p w14:paraId="70679549">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包装及运输要求</w:t>
            </w:r>
          </w:p>
        </w:tc>
        <w:tc>
          <w:tcPr>
            <w:tcW w:w="1656" w:type="dxa"/>
            <w:vAlign w:val="center"/>
          </w:tcPr>
          <w:p w14:paraId="5C025A4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★标志、包装、运输和贮存</w:t>
            </w:r>
          </w:p>
        </w:tc>
        <w:tc>
          <w:tcPr>
            <w:tcW w:w="3790" w:type="dxa"/>
            <w:vAlign w:val="center"/>
          </w:tcPr>
          <w:p w14:paraId="64FDCC1B">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符合GB/T9813.3和商品包装政府采购需求标准的相关规定</w:t>
            </w:r>
          </w:p>
        </w:tc>
        <w:tc>
          <w:tcPr>
            <w:tcW w:w="1657" w:type="dxa"/>
            <w:vAlign w:val="center"/>
          </w:tcPr>
          <w:p w14:paraId="1014958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3473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27" w:type="dxa"/>
            <w:vAlign w:val="center"/>
          </w:tcPr>
          <w:p w14:paraId="33339329">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66</w:t>
            </w:r>
          </w:p>
        </w:tc>
        <w:tc>
          <w:tcPr>
            <w:tcW w:w="933" w:type="dxa"/>
            <w:vAlign w:val="center"/>
          </w:tcPr>
          <w:p w14:paraId="54146711">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服务要求</w:t>
            </w:r>
          </w:p>
        </w:tc>
        <w:tc>
          <w:tcPr>
            <w:tcW w:w="950" w:type="dxa"/>
            <w:vMerge w:val="restart"/>
            <w:vAlign w:val="center"/>
          </w:tcPr>
          <w:p w14:paraId="39BC3C21">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服务响应</w:t>
            </w:r>
          </w:p>
        </w:tc>
        <w:tc>
          <w:tcPr>
            <w:tcW w:w="1656" w:type="dxa"/>
            <w:vAlign w:val="center"/>
          </w:tcPr>
          <w:p w14:paraId="45E4012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★服务响应</w:t>
            </w:r>
          </w:p>
        </w:tc>
        <w:tc>
          <w:tcPr>
            <w:tcW w:w="3790" w:type="dxa"/>
            <w:vAlign w:val="center"/>
          </w:tcPr>
          <w:p w14:paraId="1EBD61D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a）提供电话、电子邮件、远程连接等多种形式服务；</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b）提供同城4h、异地12h技术响应服务，2个工作日解决问题，对于未能解决的问题和故障应提供可行的升级方案，并提供周转设备；</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c）建立全国技术服务体系和服务团体，符合专业服务体系标准要求，提供原厂中文服务；</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d）服务周期内提供产品的维修、换件和升级服务</w:t>
            </w:r>
          </w:p>
        </w:tc>
        <w:tc>
          <w:tcPr>
            <w:tcW w:w="1657" w:type="dxa"/>
            <w:vAlign w:val="center"/>
          </w:tcPr>
          <w:p w14:paraId="6F7823FD">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6A15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7A6C95D4">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67</w:t>
            </w:r>
          </w:p>
        </w:tc>
        <w:tc>
          <w:tcPr>
            <w:tcW w:w="933" w:type="dxa"/>
            <w:vAlign w:val="center"/>
          </w:tcPr>
          <w:p w14:paraId="0206D7F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服务要求</w:t>
            </w:r>
          </w:p>
        </w:tc>
        <w:tc>
          <w:tcPr>
            <w:tcW w:w="950" w:type="dxa"/>
            <w:vMerge w:val="continue"/>
            <w:vAlign w:val="center"/>
          </w:tcPr>
          <w:p w14:paraId="02A52B3E">
            <w:pPr>
              <w:rPr>
                <w:rFonts w:ascii="宋体" w:hAnsi="宋体" w:eastAsia="宋体" w:cs="宋体"/>
                <w:color w:val="000000"/>
                <w:sz w:val="24"/>
                <w:highlight w:val="none"/>
              </w:rPr>
            </w:pPr>
          </w:p>
        </w:tc>
        <w:tc>
          <w:tcPr>
            <w:tcW w:w="1656" w:type="dxa"/>
            <w:vAlign w:val="center"/>
          </w:tcPr>
          <w:p w14:paraId="5A3F3FA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★培训服务</w:t>
            </w:r>
          </w:p>
        </w:tc>
        <w:tc>
          <w:tcPr>
            <w:tcW w:w="3790" w:type="dxa"/>
            <w:vAlign w:val="center"/>
          </w:tcPr>
          <w:p w14:paraId="5801A1C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供应商提供培训材料、产品手册、培训视频等培训相关内容</w:t>
            </w:r>
          </w:p>
        </w:tc>
        <w:tc>
          <w:tcPr>
            <w:tcW w:w="1657" w:type="dxa"/>
            <w:vAlign w:val="center"/>
          </w:tcPr>
          <w:p w14:paraId="4F8FC2D1">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3440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27" w:type="dxa"/>
            <w:vAlign w:val="center"/>
          </w:tcPr>
          <w:p w14:paraId="66FB3C3A">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68</w:t>
            </w:r>
          </w:p>
        </w:tc>
        <w:tc>
          <w:tcPr>
            <w:tcW w:w="933" w:type="dxa"/>
            <w:vAlign w:val="center"/>
          </w:tcPr>
          <w:p w14:paraId="7F2129CF">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服务要求</w:t>
            </w:r>
          </w:p>
        </w:tc>
        <w:tc>
          <w:tcPr>
            <w:tcW w:w="950" w:type="dxa"/>
            <w:vAlign w:val="center"/>
          </w:tcPr>
          <w:p w14:paraId="5628A0A7">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服务周期</w:t>
            </w:r>
          </w:p>
        </w:tc>
        <w:tc>
          <w:tcPr>
            <w:tcW w:w="1656" w:type="dxa"/>
            <w:vAlign w:val="center"/>
          </w:tcPr>
          <w:p w14:paraId="3FB6DF60">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★服务周期</w:t>
            </w:r>
          </w:p>
        </w:tc>
        <w:tc>
          <w:tcPr>
            <w:tcW w:w="3790" w:type="dxa"/>
            <w:vAlign w:val="center"/>
          </w:tcPr>
          <w:p w14:paraId="4CE96BA1">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a）产品免费服务周期（含换件和维修）应不小于3年；</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b）设备停产后继续提供质量保障服务（含备品备件），服务终止时间与最后一批设备交付时间间隔不低于6年；</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c）产品停止服务时间应提前1年告知客户；</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d）产品发布日期需在随机文件中明确</w:t>
            </w:r>
          </w:p>
        </w:tc>
        <w:tc>
          <w:tcPr>
            <w:tcW w:w="1657" w:type="dxa"/>
            <w:vAlign w:val="center"/>
          </w:tcPr>
          <w:p w14:paraId="5BC1F0B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4226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5D16A145">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69</w:t>
            </w:r>
          </w:p>
        </w:tc>
        <w:tc>
          <w:tcPr>
            <w:tcW w:w="933" w:type="dxa"/>
            <w:vAlign w:val="center"/>
          </w:tcPr>
          <w:p w14:paraId="69C72361">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服务要求</w:t>
            </w:r>
          </w:p>
        </w:tc>
        <w:tc>
          <w:tcPr>
            <w:tcW w:w="950" w:type="dxa"/>
            <w:vMerge w:val="restart"/>
            <w:vAlign w:val="center"/>
          </w:tcPr>
          <w:p w14:paraId="27F3B1D6">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服务工具要求</w:t>
            </w:r>
          </w:p>
        </w:tc>
        <w:tc>
          <w:tcPr>
            <w:tcW w:w="1656" w:type="dxa"/>
            <w:vAlign w:val="center"/>
          </w:tcPr>
          <w:p w14:paraId="2B7FC4A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★工具要求</w:t>
            </w:r>
          </w:p>
        </w:tc>
        <w:tc>
          <w:tcPr>
            <w:tcW w:w="3790" w:type="dxa"/>
            <w:vAlign w:val="center"/>
          </w:tcPr>
          <w:p w14:paraId="51F9A809">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供应商提供设置服务器硬件、辅助操作系统安装等功能的辅助工具和管理软件。且随附软件应具有合法授权或版权</w:t>
            </w:r>
          </w:p>
        </w:tc>
        <w:tc>
          <w:tcPr>
            <w:tcW w:w="1657" w:type="dxa"/>
            <w:vAlign w:val="center"/>
          </w:tcPr>
          <w:p w14:paraId="3F2FBB40">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1222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606E6C45">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70</w:t>
            </w:r>
          </w:p>
        </w:tc>
        <w:tc>
          <w:tcPr>
            <w:tcW w:w="933" w:type="dxa"/>
            <w:vAlign w:val="center"/>
          </w:tcPr>
          <w:p w14:paraId="5BBAF3C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服务要求</w:t>
            </w:r>
          </w:p>
        </w:tc>
        <w:tc>
          <w:tcPr>
            <w:tcW w:w="950" w:type="dxa"/>
            <w:vMerge w:val="continue"/>
            <w:vAlign w:val="center"/>
          </w:tcPr>
          <w:p w14:paraId="1B75FA26">
            <w:pPr>
              <w:rPr>
                <w:rFonts w:ascii="宋体" w:hAnsi="宋体" w:eastAsia="宋体" w:cs="宋体"/>
                <w:color w:val="000000"/>
                <w:sz w:val="24"/>
                <w:highlight w:val="none"/>
              </w:rPr>
            </w:pPr>
          </w:p>
        </w:tc>
        <w:tc>
          <w:tcPr>
            <w:tcW w:w="1656" w:type="dxa"/>
            <w:vAlign w:val="center"/>
          </w:tcPr>
          <w:p w14:paraId="502F9BD7">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★驱动安装升级指引</w:t>
            </w:r>
          </w:p>
        </w:tc>
        <w:tc>
          <w:tcPr>
            <w:tcW w:w="3790" w:type="dxa"/>
            <w:vAlign w:val="center"/>
          </w:tcPr>
          <w:p w14:paraId="2083055C">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供应商提供出厂安装的配件所需的驱动程序，形式包括但不限于驱动光盘、驱动下载链接等。其他配件应提供指引</w:t>
            </w:r>
          </w:p>
        </w:tc>
        <w:tc>
          <w:tcPr>
            <w:tcW w:w="1657" w:type="dxa"/>
            <w:vAlign w:val="center"/>
          </w:tcPr>
          <w:p w14:paraId="331FBED0">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4D31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1C72B759">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71</w:t>
            </w:r>
          </w:p>
        </w:tc>
        <w:tc>
          <w:tcPr>
            <w:tcW w:w="933" w:type="dxa"/>
            <w:vAlign w:val="center"/>
          </w:tcPr>
          <w:p w14:paraId="45BAFC92">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服务要求</w:t>
            </w:r>
          </w:p>
        </w:tc>
        <w:tc>
          <w:tcPr>
            <w:tcW w:w="950" w:type="dxa"/>
            <w:vMerge w:val="continue"/>
            <w:vAlign w:val="center"/>
          </w:tcPr>
          <w:p w14:paraId="27F536E2">
            <w:pPr>
              <w:rPr>
                <w:rFonts w:ascii="宋体" w:hAnsi="宋体" w:eastAsia="宋体" w:cs="宋体"/>
                <w:color w:val="000000"/>
                <w:sz w:val="24"/>
                <w:highlight w:val="none"/>
              </w:rPr>
            </w:pPr>
          </w:p>
        </w:tc>
        <w:tc>
          <w:tcPr>
            <w:tcW w:w="1656" w:type="dxa"/>
            <w:vAlign w:val="center"/>
          </w:tcPr>
          <w:p w14:paraId="2FDFEFF9">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★管理软件</w:t>
            </w:r>
          </w:p>
        </w:tc>
        <w:tc>
          <w:tcPr>
            <w:tcW w:w="3790" w:type="dxa"/>
            <w:vAlign w:val="center"/>
          </w:tcPr>
          <w:p w14:paraId="744AD4D6">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具备资源管理、系统管理、性能监控、健康监控、基于网络控制、报警设置功能</w:t>
            </w:r>
          </w:p>
        </w:tc>
        <w:tc>
          <w:tcPr>
            <w:tcW w:w="1657" w:type="dxa"/>
            <w:vAlign w:val="center"/>
          </w:tcPr>
          <w:p w14:paraId="59AE0670">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3560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27" w:type="dxa"/>
            <w:vAlign w:val="center"/>
          </w:tcPr>
          <w:p w14:paraId="13628B94">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72</w:t>
            </w:r>
          </w:p>
        </w:tc>
        <w:tc>
          <w:tcPr>
            <w:tcW w:w="933" w:type="dxa"/>
            <w:vAlign w:val="center"/>
          </w:tcPr>
          <w:p w14:paraId="4B6D0151">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服务要求</w:t>
            </w:r>
          </w:p>
        </w:tc>
        <w:tc>
          <w:tcPr>
            <w:tcW w:w="950" w:type="dxa"/>
            <w:vMerge w:val="restart"/>
            <w:vAlign w:val="center"/>
          </w:tcPr>
          <w:p w14:paraId="7DEE925E">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增值服务</w:t>
            </w:r>
          </w:p>
        </w:tc>
        <w:tc>
          <w:tcPr>
            <w:tcW w:w="1656" w:type="dxa"/>
            <w:vAlign w:val="center"/>
          </w:tcPr>
          <w:p w14:paraId="7D5B52FC">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★厂家升级产品软件与扩容服务</w:t>
            </w:r>
          </w:p>
        </w:tc>
        <w:tc>
          <w:tcPr>
            <w:tcW w:w="3790" w:type="dxa"/>
            <w:vAlign w:val="center"/>
          </w:tcPr>
          <w:p w14:paraId="39A73A98">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供应商提供原厂级的部件/软件产品升级和扩容能力</w:t>
            </w:r>
          </w:p>
        </w:tc>
        <w:tc>
          <w:tcPr>
            <w:tcW w:w="1657" w:type="dxa"/>
            <w:vAlign w:val="center"/>
          </w:tcPr>
          <w:p w14:paraId="5D33AC9B">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181B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27" w:type="dxa"/>
            <w:vAlign w:val="center"/>
          </w:tcPr>
          <w:p w14:paraId="1ECD391B">
            <w:pPr>
              <w:keepNext w:val="0"/>
              <w:keepLines w:val="0"/>
              <w:widowControl/>
              <w:suppressLineNumbers w:val="0"/>
              <w:jc w:val="center"/>
              <w:textAlignment w:val="center"/>
              <w:rPr>
                <w:rFonts w:ascii="宋体" w:hAnsi="宋体" w:eastAsia="宋体" w:cs="宋体"/>
                <w:b w:val="0"/>
                <w:bCs w:val="0"/>
                <w:color w:val="000000"/>
                <w:sz w:val="24"/>
                <w:highlight w:val="none"/>
              </w:rPr>
            </w:pPr>
            <w:r>
              <w:rPr>
                <w:rFonts w:hint="eastAsia" w:ascii="宋体" w:hAnsi="宋体" w:eastAsia="宋体" w:cs="宋体"/>
                <w:b w:val="0"/>
                <w:bCs w:val="0"/>
                <w:i w:val="0"/>
                <w:iCs w:val="0"/>
                <w:color w:val="000000"/>
                <w:kern w:val="0"/>
                <w:sz w:val="22"/>
                <w:szCs w:val="22"/>
                <w:highlight w:val="none"/>
                <w:u w:val="none"/>
                <w:lang w:val="en-US" w:eastAsia="zh-CN" w:bidi="ar"/>
              </w:rPr>
              <w:t>73</w:t>
            </w:r>
          </w:p>
        </w:tc>
        <w:tc>
          <w:tcPr>
            <w:tcW w:w="933" w:type="dxa"/>
            <w:vAlign w:val="center"/>
          </w:tcPr>
          <w:p w14:paraId="15B8DAD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服务要求</w:t>
            </w:r>
          </w:p>
        </w:tc>
        <w:tc>
          <w:tcPr>
            <w:tcW w:w="950" w:type="dxa"/>
            <w:vMerge w:val="continue"/>
            <w:vAlign w:val="center"/>
          </w:tcPr>
          <w:p w14:paraId="232BE78C">
            <w:pPr>
              <w:rPr>
                <w:rFonts w:ascii="宋体" w:hAnsi="宋体" w:eastAsia="宋体" w:cs="宋体"/>
                <w:color w:val="000000"/>
                <w:sz w:val="24"/>
                <w:highlight w:val="none"/>
              </w:rPr>
            </w:pPr>
          </w:p>
        </w:tc>
        <w:tc>
          <w:tcPr>
            <w:tcW w:w="1656" w:type="dxa"/>
            <w:vAlign w:val="center"/>
          </w:tcPr>
          <w:p w14:paraId="5BAAAE2B">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★提供上门服务</w:t>
            </w:r>
          </w:p>
        </w:tc>
        <w:tc>
          <w:tcPr>
            <w:tcW w:w="3790" w:type="dxa"/>
            <w:vAlign w:val="center"/>
          </w:tcPr>
          <w:p w14:paraId="49BF5DB5">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供应商具备提供上门服务的能力（可收费）</w:t>
            </w:r>
          </w:p>
        </w:tc>
        <w:tc>
          <w:tcPr>
            <w:tcW w:w="1657" w:type="dxa"/>
            <w:vAlign w:val="center"/>
          </w:tcPr>
          <w:p w14:paraId="0E48BECD">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0559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7" w:type="dxa"/>
            <w:vAlign w:val="center"/>
          </w:tcPr>
          <w:p w14:paraId="7ACE2B8A">
            <w:pPr>
              <w:keepNext w:val="0"/>
              <w:keepLines w:val="0"/>
              <w:widowControl/>
              <w:suppressLineNumbers w:val="0"/>
              <w:jc w:val="center"/>
              <w:textAlignment w:val="center"/>
              <w:rPr>
                <w:rFonts w:hint="default" w:ascii="宋体" w:hAnsi="宋体" w:eastAsia="宋体" w:cs="宋体"/>
                <w:b w:val="0"/>
                <w:bCs w:val="0"/>
                <w:color w:val="000000"/>
                <w:sz w:val="24"/>
                <w:highlight w:val="none"/>
                <w:lang w:val="en-US" w:eastAsia="zh-CN"/>
              </w:rPr>
            </w:pPr>
            <w:r>
              <w:rPr>
                <w:rFonts w:hint="eastAsia" w:ascii="宋体" w:hAnsi="宋体" w:eastAsia="宋体" w:cs="宋体"/>
                <w:b w:val="0"/>
                <w:bCs w:val="0"/>
                <w:i w:val="0"/>
                <w:iCs w:val="0"/>
                <w:color w:val="000000"/>
                <w:kern w:val="0"/>
                <w:sz w:val="22"/>
                <w:szCs w:val="22"/>
                <w:highlight w:val="none"/>
                <w:u w:val="none"/>
                <w:lang w:val="en-US" w:eastAsia="zh-CN" w:bidi="ar"/>
              </w:rPr>
              <w:t>74</w:t>
            </w:r>
          </w:p>
        </w:tc>
        <w:tc>
          <w:tcPr>
            <w:tcW w:w="933" w:type="dxa"/>
            <w:vAlign w:val="center"/>
          </w:tcPr>
          <w:p w14:paraId="07709D1F">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供保要求</w:t>
            </w:r>
          </w:p>
        </w:tc>
        <w:tc>
          <w:tcPr>
            <w:tcW w:w="950" w:type="dxa"/>
            <w:vMerge w:val="restart"/>
            <w:vAlign w:val="center"/>
          </w:tcPr>
          <w:p w14:paraId="6DF5114D">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供应链质量</w:t>
            </w:r>
          </w:p>
        </w:tc>
        <w:tc>
          <w:tcPr>
            <w:tcW w:w="1656" w:type="dxa"/>
            <w:vAlign w:val="center"/>
          </w:tcPr>
          <w:p w14:paraId="259C5C0B">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★抗干扰性</w:t>
            </w:r>
          </w:p>
        </w:tc>
        <w:tc>
          <w:tcPr>
            <w:tcW w:w="3790" w:type="dxa"/>
            <w:vAlign w:val="center"/>
          </w:tcPr>
          <w:p w14:paraId="6E529B17">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当产品部件出现供应风险时，应通知客户并提供风险应对方案确保产品的服务保障，必要时应停止相关受影响产品的销售</w:t>
            </w:r>
          </w:p>
        </w:tc>
        <w:tc>
          <w:tcPr>
            <w:tcW w:w="1657" w:type="dxa"/>
            <w:vAlign w:val="center"/>
          </w:tcPr>
          <w:p w14:paraId="5D344E18">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r w14:paraId="6D78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27" w:type="dxa"/>
            <w:vAlign w:val="center"/>
          </w:tcPr>
          <w:p w14:paraId="5A4B4523">
            <w:pPr>
              <w:keepNext w:val="0"/>
              <w:keepLines w:val="0"/>
              <w:widowControl/>
              <w:suppressLineNumbers w:val="0"/>
              <w:jc w:val="center"/>
              <w:textAlignment w:val="center"/>
              <w:rPr>
                <w:rFonts w:hint="default" w:ascii="宋体" w:hAnsi="宋体" w:eastAsia="宋体" w:cs="宋体"/>
                <w:b w:val="0"/>
                <w:bCs w:val="0"/>
                <w:color w:val="000000"/>
                <w:sz w:val="24"/>
                <w:highlight w:val="none"/>
                <w:lang w:val="en-US" w:eastAsia="zh-CN"/>
              </w:rPr>
            </w:pPr>
            <w:r>
              <w:rPr>
                <w:rFonts w:hint="eastAsia" w:ascii="宋体" w:hAnsi="宋体" w:eastAsia="宋体" w:cs="宋体"/>
                <w:b w:val="0"/>
                <w:bCs w:val="0"/>
                <w:i w:val="0"/>
                <w:iCs w:val="0"/>
                <w:color w:val="000000"/>
                <w:kern w:val="0"/>
                <w:sz w:val="22"/>
                <w:szCs w:val="22"/>
                <w:highlight w:val="none"/>
                <w:u w:val="none"/>
                <w:lang w:val="en-US" w:eastAsia="zh-CN" w:bidi="ar"/>
              </w:rPr>
              <w:t>75</w:t>
            </w:r>
          </w:p>
        </w:tc>
        <w:tc>
          <w:tcPr>
            <w:tcW w:w="933" w:type="dxa"/>
            <w:vAlign w:val="center"/>
          </w:tcPr>
          <w:p w14:paraId="38D3F00A">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供保要求</w:t>
            </w:r>
          </w:p>
        </w:tc>
        <w:tc>
          <w:tcPr>
            <w:tcW w:w="950" w:type="dxa"/>
            <w:vMerge w:val="continue"/>
            <w:vAlign w:val="center"/>
          </w:tcPr>
          <w:p w14:paraId="38BEBCF0">
            <w:pPr>
              <w:rPr>
                <w:rFonts w:ascii="宋体" w:hAnsi="宋体" w:eastAsia="宋体" w:cs="宋体"/>
                <w:color w:val="000000"/>
                <w:sz w:val="24"/>
                <w:highlight w:val="none"/>
              </w:rPr>
            </w:pPr>
          </w:p>
        </w:tc>
        <w:tc>
          <w:tcPr>
            <w:tcW w:w="1656" w:type="dxa"/>
            <w:vAlign w:val="center"/>
          </w:tcPr>
          <w:p w14:paraId="38308014">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★供应能力证明</w:t>
            </w:r>
          </w:p>
        </w:tc>
        <w:tc>
          <w:tcPr>
            <w:tcW w:w="3790" w:type="dxa"/>
            <w:vAlign w:val="center"/>
          </w:tcPr>
          <w:p w14:paraId="0E3AE007">
            <w:pPr>
              <w:widowControl/>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供应商提供供应链稳定承诺书，确保产品的部件在产品服务周期内稳定供货</w:t>
            </w:r>
          </w:p>
        </w:tc>
        <w:tc>
          <w:tcPr>
            <w:tcW w:w="1657" w:type="dxa"/>
            <w:vAlign w:val="center"/>
          </w:tcPr>
          <w:p w14:paraId="094E2AF4">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w:t>
            </w:r>
          </w:p>
        </w:tc>
      </w:tr>
    </w:tbl>
    <w:p w14:paraId="172E68DE">
      <w:pPr>
        <w:spacing w:line="360" w:lineRule="auto"/>
        <w:ind w:firstLine="480" w:firstLineChars="200"/>
        <w:contextualSpacing/>
        <w:rPr>
          <w:rFonts w:ascii="宋体" w:hAnsi="宋体" w:eastAsia="宋体" w:cs="宋体"/>
          <w:sz w:val="24"/>
          <w:highlight w:val="none"/>
        </w:rPr>
      </w:pPr>
    </w:p>
    <w:p w14:paraId="14AE5AFC">
      <w:pPr>
        <w:keepNext/>
        <w:numPr>
          <w:ilvl w:val="5"/>
          <w:numId w:val="1"/>
        </w:numPr>
        <w:spacing w:before="240" w:beforeLines="100" w:after="120" w:afterLines="50" w:line="360" w:lineRule="auto"/>
        <w:ind w:left="640" w:hanging="640"/>
        <w:outlineLvl w:val="5"/>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GPU服务器1</w:t>
      </w:r>
    </w:p>
    <w:p w14:paraId="663EB56F">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在满足服务器通用参数的基础上，GPU服务器1需满足的其他参数要求</w:t>
      </w:r>
    </w:p>
    <w:tbl>
      <w:tblPr>
        <w:tblStyle w:val="2"/>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5"/>
        <w:gridCol w:w="1296"/>
        <w:gridCol w:w="6345"/>
      </w:tblGrid>
      <w:tr w14:paraId="4067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41E74E40">
            <w:pPr>
              <w:spacing w:line="360" w:lineRule="auto"/>
              <w:jc w:val="center"/>
              <w:rPr>
                <w:rFonts w:ascii="宋体" w:hAnsi="宋体" w:eastAsia="宋体" w:cs="Times New Roman"/>
                <w:b/>
                <w:bCs/>
                <w:sz w:val="24"/>
                <w:highlight w:val="none"/>
              </w:rPr>
            </w:pPr>
            <w:r>
              <w:rPr>
                <w:rFonts w:hint="eastAsia" w:ascii="宋体" w:hAnsi="宋体" w:eastAsia="宋体" w:cs="Times New Roman"/>
                <w:b/>
                <w:bCs/>
                <w:sz w:val="24"/>
                <w:highlight w:val="none"/>
              </w:rPr>
              <w:t>序号</w:t>
            </w:r>
          </w:p>
        </w:tc>
        <w:tc>
          <w:tcPr>
            <w:tcW w:w="1245" w:type="dxa"/>
            <w:shd w:val="clear" w:color="auto" w:fill="auto"/>
            <w:vAlign w:val="center"/>
          </w:tcPr>
          <w:p w14:paraId="1B5E48B8">
            <w:pPr>
              <w:spacing w:line="360" w:lineRule="auto"/>
              <w:jc w:val="center"/>
              <w:rPr>
                <w:rFonts w:ascii="宋体" w:hAnsi="宋体" w:eastAsia="宋体" w:cs="Times New Roman"/>
                <w:b/>
                <w:bCs/>
                <w:sz w:val="24"/>
                <w:highlight w:val="none"/>
              </w:rPr>
            </w:pPr>
            <w:r>
              <w:rPr>
                <w:rFonts w:hint="eastAsia" w:ascii="宋体" w:hAnsi="宋体" w:eastAsia="宋体" w:cs="Times New Roman"/>
                <w:b/>
                <w:bCs/>
                <w:sz w:val="24"/>
                <w:highlight w:val="none"/>
              </w:rPr>
              <w:t>指标项</w:t>
            </w:r>
          </w:p>
        </w:tc>
        <w:tc>
          <w:tcPr>
            <w:tcW w:w="1296" w:type="dxa"/>
            <w:shd w:val="clear" w:color="auto" w:fill="auto"/>
            <w:vAlign w:val="center"/>
          </w:tcPr>
          <w:p w14:paraId="313A22F2">
            <w:pPr>
              <w:spacing w:line="360" w:lineRule="auto"/>
              <w:jc w:val="center"/>
              <w:rPr>
                <w:rFonts w:ascii="宋体" w:hAnsi="宋体" w:eastAsia="宋体" w:cs="Times New Roman"/>
                <w:b/>
                <w:bCs/>
                <w:sz w:val="24"/>
                <w:highlight w:val="none"/>
              </w:rPr>
            </w:pPr>
            <w:r>
              <w:rPr>
                <w:rFonts w:hint="eastAsia" w:ascii="宋体" w:hAnsi="宋体" w:eastAsia="宋体" w:cs="Times New Roman"/>
                <w:b/>
                <w:bCs/>
                <w:sz w:val="24"/>
                <w:highlight w:val="none"/>
              </w:rPr>
              <w:t>重要性</w:t>
            </w:r>
          </w:p>
        </w:tc>
        <w:tc>
          <w:tcPr>
            <w:tcW w:w="6345" w:type="dxa"/>
            <w:shd w:val="clear" w:color="auto" w:fill="auto"/>
            <w:vAlign w:val="center"/>
          </w:tcPr>
          <w:p w14:paraId="16D11C42">
            <w:pPr>
              <w:spacing w:line="360" w:lineRule="auto"/>
              <w:jc w:val="center"/>
              <w:rPr>
                <w:rFonts w:ascii="宋体" w:hAnsi="宋体" w:eastAsia="宋体" w:cs="Times New Roman"/>
                <w:b/>
                <w:bCs/>
                <w:sz w:val="24"/>
                <w:highlight w:val="none"/>
              </w:rPr>
            </w:pPr>
            <w:r>
              <w:rPr>
                <w:rFonts w:hint="eastAsia" w:ascii="宋体" w:hAnsi="宋体" w:eastAsia="宋体" w:cs="Times New Roman"/>
                <w:b/>
                <w:bCs/>
                <w:sz w:val="24"/>
                <w:highlight w:val="none"/>
              </w:rPr>
              <w:t>指标要求</w:t>
            </w:r>
          </w:p>
        </w:tc>
      </w:tr>
      <w:tr w14:paraId="6B74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shd w:val="clear" w:color="auto" w:fill="auto"/>
            <w:vAlign w:val="center"/>
          </w:tcPr>
          <w:p w14:paraId="37A3BE45">
            <w:pPr>
              <w:ind w:left="425" w:hanging="425"/>
              <w:jc w:val="center"/>
              <w:rPr>
                <w:rFonts w:ascii="宋体" w:hAnsi="宋体" w:eastAsia="宋体" w:cs="Times New Roman"/>
                <w:sz w:val="24"/>
                <w:highlight w:val="none"/>
              </w:rPr>
            </w:pPr>
            <w:r>
              <w:rPr>
                <w:rFonts w:ascii="宋体" w:hAnsi="宋体" w:eastAsia="宋体" w:cs="Times New Roman"/>
                <w:sz w:val="24"/>
                <w:highlight w:val="none"/>
              </w:rPr>
              <w:t>1</w:t>
            </w:r>
          </w:p>
        </w:tc>
        <w:tc>
          <w:tcPr>
            <w:tcW w:w="1245" w:type="dxa"/>
            <w:shd w:val="clear" w:color="auto" w:fill="auto"/>
            <w:vAlign w:val="center"/>
          </w:tcPr>
          <w:p w14:paraId="5FC684CA">
            <w:pPr>
              <w:jc w:val="center"/>
              <w:rPr>
                <w:rFonts w:ascii="宋体" w:hAnsi="宋体" w:eastAsia="宋体" w:cs="Times New Roman"/>
                <w:sz w:val="24"/>
                <w:highlight w:val="none"/>
              </w:rPr>
            </w:pPr>
            <w:r>
              <w:rPr>
                <w:rFonts w:hint="eastAsia" w:ascii="宋体" w:hAnsi="宋体" w:eastAsia="宋体" w:cs="Times New Roman"/>
                <w:sz w:val="24"/>
                <w:highlight w:val="none"/>
              </w:rPr>
              <w:t>CPU规格</w:t>
            </w:r>
          </w:p>
        </w:tc>
        <w:tc>
          <w:tcPr>
            <w:tcW w:w="1296" w:type="dxa"/>
            <w:shd w:val="clear" w:color="auto" w:fill="auto"/>
            <w:vAlign w:val="center"/>
          </w:tcPr>
          <w:p w14:paraId="0B674345">
            <w:pPr>
              <w:jc w:val="center"/>
              <w:rPr>
                <w:rFonts w:ascii="宋体" w:hAnsi="宋体" w:eastAsia="宋体" w:cs="Times New Roman"/>
                <w:sz w:val="24"/>
                <w:highlight w:val="none"/>
              </w:rPr>
            </w:pPr>
            <w:r>
              <w:rPr>
                <w:rFonts w:hint="eastAsia" w:ascii="宋体" w:hAnsi="宋体" w:eastAsia="宋体" w:cs="宋体"/>
                <w:color w:val="000000"/>
                <w:kern w:val="0"/>
                <w:sz w:val="24"/>
                <w:highlight w:val="none"/>
                <w:lang w:bidi="ar"/>
              </w:rPr>
              <w:t>★</w:t>
            </w:r>
          </w:p>
        </w:tc>
        <w:tc>
          <w:tcPr>
            <w:tcW w:w="6345" w:type="dxa"/>
            <w:shd w:val="clear" w:color="auto" w:fill="auto"/>
            <w:vAlign w:val="center"/>
          </w:tcPr>
          <w:p w14:paraId="29B55ACC">
            <w:pPr>
              <w:rPr>
                <w:rFonts w:ascii="宋体" w:hAnsi="宋体" w:eastAsia="宋体" w:cs="Times New Roman"/>
                <w:sz w:val="24"/>
                <w:highlight w:val="none"/>
              </w:rPr>
            </w:pPr>
            <w:r>
              <w:rPr>
                <w:rFonts w:hint="eastAsia" w:ascii="宋体" w:hAnsi="宋体" w:eastAsia="宋体" w:cs="Times New Roman"/>
                <w:sz w:val="24"/>
                <w:highlight w:val="none"/>
              </w:rPr>
              <w:t>配置整体物理核心数≥1</w:t>
            </w:r>
            <w:r>
              <w:rPr>
                <w:rFonts w:ascii="宋体" w:hAnsi="宋体" w:eastAsia="宋体" w:cs="Times New Roman"/>
                <w:sz w:val="24"/>
                <w:highlight w:val="none"/>
              </w:rPr>
              <w:t>28</w:t>
            </w:r>
            <w:r>
              <w:rPr>
                <w:rFonts w:hint="eastAsia" w:ascii="宋体" w:hAnsi="宋体" w:eastAsia="宋体" w:cs="Times New Roman"/>
                <w:sz w:val="24"/>
                <w:highlight w:val="none"/>
              </w:rPr>
              <w:t>核，支持精简指令集，主频≥2.6GHz。</w:t>
            </w:r>
          </w:p>
        </w:tc>
      </w:tr>
      <w:tr w14:paraId="082C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44" w:type="dxa"/>
            <w:vMerge w:val="restart"/>
            <w:shd w:val="clear" w:color="auto" w:fill="auto"/>
            <w:vAlign w:val="center"/>
          </w:tcPr>
          <w:p w14:paraId="162B826B">
            <w:pPr>
              <w:jc w:val="center"/>
              <w:rPr>
                <w:rFonts w:ascii="宋体" w:hAnsi="宋体" w:eastAsia="宋体" w:cs="Times New Roman"/>
                <w:sz w:val="24"/>
                <w:highlight w:val="none"/>
              </w:rPr>
            </w:pPr>
            <w:r>
              <w:rPr>
                <w:rFonts w:hint="eastAsia" w:ascii="宋体" w:hAnsi="宋体" w:eastAsia="宋体" w:cs="Times New Roman"/>
                <w:sz w:val="24"/>
                <w:highlight w:val="none"/>
              </w:rPr>
              <w:t>2</w:t>
            </w:r>
          </w:p>
        </w:tc>
        <w:tc>
          <w:tcPr>
            <w:tcW w:w="1245" w:type="dxa"/>
            <w:vMerge w:val="restart"/>
            <w:shd w:val="clear" w:color="auto" w:fill="auto"/>
            <w:vAlign w:val="center"/>
          </w:tcPr>
          <w:p w14:paraId="71941A11">
            <w:pPr>
              <w:jc w:val="center"/>
              <w:rPr>
                <w:rFonts w:ascii="宋体" w:hAnsi="宋体" w:eastAsia="宋体" w:cs="Times New Roman"/>
                <w:sz w:val="24"/>
                <w:highlight w:val="none"/>
              </w:rPr>
            </w:pPr>
            <w:r>
              <w:rPr>
                <w:rFonts w:hint="eastAsia" w:ascii="宋体" w:hAnsi="宋体" w:eastAsia="宋体" w:cs="Times New Roman"/>
                <w:sz w:val="24"/>
                <w:highlight w:val="none"/>
              </w:rPr>
              <w:t>GPU规格</w:t>
            </w:r>
          </w:p>
        </w:tc>
        <w:tc>
          <w:tcPr>
            <w:tcW w:w="1296" w:type="dxa"/>
            <w:shd w:val="clear" w:color="auto" w:fill="auto"/>
            <w:vAlign w:val="center"/>
          </w:tcPr>
          <w:p w14:paraId="44A9900A">
            <w:pPr>
              <w:jc w:val="center"/>
              <w:rPr>
                <w:rFonts w:ascii="宋体" w:hAnsi="宋体" w:eastAsia="宋体" w:cs="Times New Roman"/>
                <w:sz w:val="24"/>
                <w:highlight w:val="none"/>
              </w:rPr>
            </w:pPr>
            <w:r>
              <w:rPr>
                <w:rFonts w:hint="eastAsia" w:ascii="宋体" w:hAnsi="宋体" w:eastAsia="宋体" w:cs="宋体"/>
                <w:color w:val="000000"/>
                <w:kern w:val="0"/>
                <w:sz w:val="24"/>
                <w:highlight w:val="none"/>
                <w:lang w:bidi="ar"/>
              </w:rPr>
              <w:t>★</w:t>
            </w:r>
          </w:p>
        </w:tc>
        <w:tc>
          <w:tcPr>
            <w:tcW w:w="6345" w:type="dxa"/>
            <w:shd w:val="clear" w:color="auto" w:fill="auto"/>
            <w:vAlign w:val="center"/>
          </w:tcPr>
          <w:p w14:paraId="6D7681EE">
            <w:pPr>
              <w:rPr>
                <w:rFonts w:ascii="宋体" w:hAnsi="宋体" w:eastAsia="宋体" w:cs="Times New Roman"/>
                <w:sz w:val="24"/>
                <w:highlight w:val="none"/>
              </w:rPr>
            </w:pPr>
            <w:r>
              <w:rPr>
                <w:rFonts w:ascii="宋体" w:hAnsi="宋体" w:eastAsia="宋体" w:cs="Times New Roman"/>
                <w:sz w:val="24"/>
                <w:highlight w:val="none"/>
              </w:rPr>
              <w:t>总</w:t>
            </w:r>
            <w:r>
              <w:rPr>
                <w:rFonts w:hint="eastAsia" w:ascii="宋体" w:hAnsi="宋体" w:eastAsia="宋体" w:cs="Times New Roman"/>
                <w:sz w:val="24"/>
                <w:highlight w:val="none"/>
              </w:rPr>
              <w:t>显存≥</w:t>
            </w:r>
            <w:r>
              <w:rPr>
                <w:rFonts w:ascii="宋体" w:hAnsi="宋体" w:eastAsia="宋体" w:cs="Times New Roman"/>
                <w:sz w:val="24"/>
                <w:highlight w:val="none"/>
              </w:rPr>
              <w:t>512</w:t>
            </w:r>
            <w:r>
              <w:rPr>
                <w:rFonts w:hint="eastAsia" w:ascii="宋体" w:hAnsi="宋体" w:eastAsia="宋体" w:cs="Times New Roman"/>
                <w:sz w:val="24"/>
                <w:highlight w:val="none"/>
              </w:rPr>
              <w:t>GB HBM</w:t>
            </w:r>
          </w:p>
        </w:tc>
      </w:tr>
      <w:tr w14:paraId="1E88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44" w:type="dxa"/>
            <w:vMerge w:val="continue"/>
            <w:shd w:val="clear" w:color="auto" w:fill="auto"/>
            <w:vAlign w:val="center"/>
          </w:tcPr>
          <w:p w14:paraId="61D0D9B3">
            <w:pPr>
              <w:ind w:left="425" w:hanging="425"/>
              <w:jc w:val="center"/>
              <w:rPr>
                <w:rFonts w:ascii="宋体" w:hAnsi="宋体" w:eastAsia="宋体" w:cs="Times New Roman"/>
                <w:sz w:val="24"/>
                <w:highlight w:val="none"/>
              </w:rPr>
            </w:pPr>
          </w:p>
        </w:tc>
        <w:tc>
          <w:tcPr>
            <w:tcW w:w="1245" w:type="dxa"/>
            <w:vMerge w:val="continue"/>
            <w:shd w:val="clear" w:color="auto" w:fill="auto"/>
            <w:vAlign w:val="center"/>
          </w:tcPr>
          <w:p w14:paraId="2A751306">
            <w:pPr>
              <w:jc w:val="center"/>
              <w:rPr>
                <w:rFonts w:ascii="宋体" w:hAnsi="宋体" w:eastAsia="宋体" w:cs="Times New Roman"/>
                <w:sz w:val="24"/>
                <w:highlight w:val="none"/>
              </w:rPr>
            </w:pPr>
          </w:p>
        </w:tc>
        <w:tc>
          <w:tcPr>
            <w:tcW w:w="1296" w:type="dxa"/>
            <w:shd w:val="clear" w:color="auto" w:fill="auto"/>
            <w:vAlign w:val="center"/>
          </w:tcPr>
          <w:p w14:paraId="17787984">
            <w:pPr>
              <w:jc w:val="center"/>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w:t>
            </w:r>
          </w:p>
        </w:tc>
        <w:tc>
          <w:tcPr>
            <w:tcW w:w="6345" w:type="dxa"/>
            <w:shd w:val="clear" w:color="auto" w:fill="auto"/>
            <w:vAlign w:val="center"/>
          </w:tcPr>
          <w:p w14:paraId="6F930140">
            <w:pPr>
              <w:rPr>
                <w:rFonts w:ascii="宋体" w:hAnsi="宋体" w:eastAsia="宋体" w:cs="Times New Roman"/>
                <w:sz w:val="24"/>
                <w:highlight w:val="none"/>
              </w:rPr>
            </w:pPr>
            <w:r>
              <w:rPr>
                <w:rFonts w:hint="eastAsia" w:ascii="宋体" w:hAnsi="宋体" w:eastAsia="宋体" w:cs="Times New Roman"/>
                <w:sz w:val="24"/>
                <w:highlight w:val="none"/>
              </w:rPr>
              <w:t>整机可提供≥1.96PFLOPS的FP16算力</w:t>
            </w:r>
          </w:p>
        </w:tc>
      </w:tr>
      <w:tr w14:paraId="178F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44" w:type="dxa"/>
            <w:shd w:val="clear" w:color="auto" w:fill="auto"/>
            <w:vAlign w:val="center"/>
          </w:tcPr>
          <w:p w14:paraId="1D56FA78">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3</w:t>
            </w:r>
          </w:p>
        </w:tc>
        <w:tc>
          <w:tcPr>
            <w:tcW w:w="1245" w:type="dxa"/>
            <w:shd w:val="clear" w:color="auto" w:fill="auto"/>
            <w:vAlign w:val="center"/>
          </w:tcPr>
          <w:p w14:paraId="55C43822">
            <w:pPr>
              <w:jc w:val="center"/>
              <w:rPr>
                <w:rFonts w:ascii="宋体" w:hAnsi="宋体" w:eastAsia="宋体" w:cs="Times New Roman"/>
                <w:sz w:val="24"/>
                <w:highlight w:val="none"/>
              </w:rPr>
            </w:pPr>
            <w:r>
              <w:rPr>
                <w:rFonts w:hint="eastAsia" w:ascii="宋体" w:hAnsi="宋体" w:eastAsia="宋体" w:cs="Times New Roman"/>
                <w:sz w:val="24"/>
                <w:highlight w:val="none"/>
              </w:rPr>
              <w:t>卡间互联方式</w:t>
            </w:r>
          </w:p>
        </w:tc>
        <w:tc>
          <w:tcPr>
            <w:tcW w:w="1296" w:type="dxa"/>
            <w:shd w:val="clear" w:color="auto" w:fill="auto"/>
            <w:vAlign w:val="center"/>
          </w:tcPr>
          <w:p w14:paraId="751A8A6D">
            <w:pPr>
              <w:jc w:val="center"/>
              <w:rPr>
                <w:rFonts w:ascii="宋体" w:hAnsi="宋体" w:eastAsia="宋体" w:cs="Times New Roman"/>
                <w:sz w:val="24"/>
                <w:highlight w:val="none"/>
              </w:rPr>
            </w:pPr>
            <w:r>
              <w:rPr>
                <w:rFonts w:hint="eastAsia" w:ascii="宋体" w:hAnsi="宋体" w:eastAsia="宋体" w:cs="Times New Roman"/>
                <w:sz w:val="24"/>
                <w:highlight w:val="none"/>
              </w:rPr>
              <w:t>#</w:t>
            </w:r>
          </w:p>
        </w:tc>
        <w:tc>
          <w:tcPr>
            <w:tcW w:w="6345" w:type="dxa"/>
            <w:shd w:val="clear" w:color="auto" w:fill="auto"/>
            <w:vAlign w:val="center"/>
          </w:tcPr>
          <w:p w14:paraId="24092049">
            <w:pPr>
              <w:rPr>
                <w:rFonts w:ascii="宋体" w:hAnsi="宋体" w:eastAsia="宋体" w:cs="Times New Roman"/>
                <w:sz w:val="24"/>
                <w:highlight w:val="none"/>
              </w:rPr>
            </w:pPr>
            <w:r>
              <w:rPr>
                <w:rFonts w:hint="eastAsia" w:ascii="宋体" w:hAnsi="宋体" w:eastAsia="宋体" w:cs="Times New Roman"/>
                <w:sz w:val="24"/>
                <w:highlight w:val="none"/>
              </w:rPr>
              <w:t>卡间Full Mesh全互联，聚合互联带宽≥390GB/s</w:t>
            </w:r>
          </w:p>
        </w:tc>
      </w:tr>
      <w:tr w14:paraId="0B92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44" w:type="dxa"/>
            <w:shd w:val="clear" w:color="auto" w:fill="auto"/>
            <w:vAlign w:val="center"/>
          </w:tcPr>
          <w:p w14:paraId="7C1705DA">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4</w:t>
            </w:r>
          </w:p>
        </w:tc>
        <w:tc>
          <w:tcPr>
            <w:tcW w:w="1245" w:type="dxa"/>
            <w:shd w:val="clear" w:color="auto" w:fill="auto"/>
            <w:vAlign w:val="center"/>
          </w:tcPr>
          <w:p w14:paraId="6D6B2758">
            <w:pPr>
              <w:jc w:val="center"/>
              <w:rPr>
                <w:rFonts w:ascii="宋体" w:hAnsi="宋体" w:eastAsia="宋体" w:cs="Times New Roman"/>
                <w:sz w:val="24"/>
                <w:highlight w:val="none"/>
              </w:rPr>
            </w:pPr>
            <w:r>
              <w:rPr>
                <w:rFonts w:hint="eastAsia" w:ascii="宋体" w:hAnsi="宋体" w:eastAsia="宋体" w:cs="Times New Roman"/>
                <w:sz w:val="24"/>
                <w:highlight w:val="none"/>
              </w:rPr>
              <w:t>GPU安全要求</w:t>
            </w:r>
          </w:p>
        </w:tc>
        <w:tc>
          <w:tcPr>
            <w:tcW w:w="1296" w:type="dxa"/>
            <w:shd w:val="clear" w:color="auto" w:fill="auto"/>
            <w:vAlign w:val="center"/>
          </w:tcPr>
          <w:p w14:paraId="39C5E2BE">
            <w:pPr>
              <w:jc w:val="center"/>
              <w:rPr>
                <w:rFonts w:ascii="宋体" w:hAnsi="宋体" w:eastAsia="宋体" w:cs="Times New Roman"/>
                <w:sz w:val="24"/>
                <w:highlight w:val="none"/>
              </w:rPr>
            </w:pPr>
            <w:r>
              <w:rPr>
                <w:rFonts w:hint="eastAsia" w:ascii="宋体" w:hAnsi="宋体" w:eastAsia="宋体" w:cs="Times New Roman"/>
                <w:sz w:val="24"/>
                <w:highlight w:val="none"/>
              </w:rPr>
              <w:t>#</w:t>
            </w:r>
          </w:p>
        </w:tc>
        <w:tc>
          <w:tcPr>
            <w:tcW w:w="6345" w:type="dxa"/>
            <w:shd w:val="clear" w:color="auto" w:fill="auto"/>
            <w:vAlign w:val="center"/>
          </w:tcPr>
          <w:p w14:paraId="75D33BCB">
            <w:pPr>
              <w:rPr>
                <w:rFonts w:ascii="宋体" w:hAnsi="宋体" w:eastAsia="宋体" w:cs="Times New Roman"/>
                <w:sz w:val="24"/>
                <w:highlight w:val="none"/>
              </w:rPr>
            </w:pPr>
            <w:r>
              <w:rPr>
                <w:rFonts w:hint="eastAsia" w:ascii="宋体" w:hAnsi="宋体" w:eastAsia="宋体" w:cs="Times New Roman"/>
                <w:sz w:val="24"/>
                <w:highlight w:val="none"/>
              </w:rPr>
              <w:t>GPU芯片满足国密认证，提供国家认可的认证</w:t>
            </w:r>
            <w:r>
              <w:rPr>
                <w:rFonts w:ascii="宋体" w:hAnsi="宋体" w:eastAsia="宋体" w:cs="Times New Roman"/>
                <w:sz w:val="24"/>
                <w:highlight w:val="none"/>
              </w:rPr>
              <w:t>（检测）</w:t>
            </w:r>
            <w:r>
              <w:rPr>
                <w:rFonts w:hint="eastAsia" w:ascii="宋体" w:hAnsi="宋体" w:eastAsia="宋体" w:cs="Times New Roman"/>
                <w:sz w:val="24"/>
                <w:highlight w:val="none"/>
              </w:rPr>
              <w:t>机构颁发的认证证书</w:t>
            </w:r>
          </w:p>
        </w:tc>
      </w:tr>
      <w:tr w14:paraId="063D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44" w:type="dxa"/>
            <w:shd w:val="clear" w:color="auto" w:fill="auto"/>
            <w:vAlign w:val="center"/>
          </w:tcPr>
          <w:p w14:paraId="26CAD4EC">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5</w:t>
            </w:r>
          </w:p>
        </w:tc>
        <w:tc>
          <w:tcPr>
            <w:tcW w:w="1245" w:type="dxa"/>
            <w:shd w:val="clear" w:color="auto" w:fill="auto"/>
            <w:vAlign w:val="center"/>
          </w:tcPr>
          <w:p w14:paraId="6F450B86">
            <w:pPr>
              <w:jc w:val="center"/>
              <w:rPr>
                <w:rFonts w:ascii="宋体" w:hAnsi="宋体" w:eastAsia="宋体" w:cs="Times New Roman"/>
                <w:sz w:val="24"/>
                <w:highlight w:val="none"/>
              </w:rPr>
            </w:pPr>
            <w:r>
              <w:rPr>
                <w:rFonts w:hint="eastAsia" w:ascii="宋体" w:hAnsi="宋体" w:eastAsia="宋体" w:cs="Times New Roman"/>
                <w:sz w:val="24"/>
                <w:highlight w:val="none"/>
              </w:rPr>
              <w:t>GPU卡监控能力</w:t>
            </w:r>
          </w:p>
        </w:tc>
        <w:tc>
          <w:tcPr>
            <w:tcW w:w="1296" w:type="dxa"/>
            <w:shd w:val="clear" w:color="auto" w:fill="auto"/>
            <w:vAlign w:val="center"/>
          </w:tcPr>
          <w:p w14:paraId="76FA49F7">
            <w:pPr>
              <w:jc w:val="center"/>
              <w:rPr>
                <w:rFonts w:ascii="宋体" w:hAnsi="宋体" w:eastAsia="宋体" w:cs="Times New Roman"/>
                <w:sz w:val="24"/>
                <w:highlight w:val="none"/>
              </w:rPr>
            </w:pPr>
          </w:p>
        </w:tc>
        <w:tc>
          <w:tcPr>
            <w:tcW w:w="6345" w:type="dxa"/>
            <w:shd w:val="clear" w:color="auto" w:fill="auto"/>
            <w:vAlign w:val="center"/>
          </w:tcPr>
          <w:p w14:paraId="2E04C84D">
            <w:pPr>
              <w:rPr>
                <w:rFonts w:ascii="宋体" w:hAnsi="宋体" w:eastAsia="宋体" w:cs="Times New Roman"/>
                <w:sz w:val="24"/>
                <w:highlight w:val="none"/>
              </w:rPr>
            </w:pPr>
            <w:r>
              <w:rPr>
                <w:rFonts w:hint="eastAsia" w:ascii="宋体" w:hAnsi="宋体" w:eastAsia="宋体" w:cs="Times New Roman"/>
                <w:sz w:val="24"/>
                <w:highlight w:val="none"/>
              </w:rPr>
              <w:t>支持对GPU卡的使用状态进行监控</w:t>
            </w:r>
          </w:p>
        </w:tc>
      </w:tr>
      <w:tr w14:paraId="6CAA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shd w:val="clear" w:color="auto" w:fill="auto"/>
            <w:vAlign w:val="center"/>
          </w:tcPr>
          <w:p w14:paraId="4BEAE9D4">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6</w:t>
            </w:r>
          </w:p>
        </w:tc>
        <w:tc>
          <w:tcPr>
            <w:tcW w:w="1245" w:type="dxa"/>
            <w:shd w:val="clear" w:color="auto" w:fill="auto"/>
            <w:vAlign w:val="center"/>
          </w:tcPr>
          <w:p w14:paraId="4923299E">
            <w:pPr>
              <w:jc w:val="center"/>
              <w:rPr>
                <w:rFonts w:ascii="宋体" w:hAnsi="宋体" w:eastAsia="宋体" w:cs="Times New Roman"/>
                <w:sz w:val="24"/>
                <w:highlight w:val="none"/>
              </w:rPr>
            </w:pPr>
            <w:r>
              <w:rPr>
                <w:rFonts w:hint="eastAsia" w:ascii="宋体" w:hAnsi="宋体" w:eastAsia="宋体" w:cs="Times New Roman"/>
                <w:sz w:val="24"/>
                <w:highlight w:val="none"/>
              </w:rPr>
              <w:t>内存规格</w:t>
            </w:r>
          </w:p>
        </w:tc>
        <w:tc>
          <w:tcPr>
            <w:tcW w:w="1296" w:type="dxa"/>
            <w:shd w:val="clear" w:color="auto" w:fill="auto"/>
            <w:vAlign w:val="center"/>
          </w:tcPr>
          <w:p w14:paraId="5D7D93B5">
            <w:pPr>
              <w:jc w:val="center"/>
              <w:rPr>
                <w:rFonts w:ascii="宋体" w:hAnsi="宋体" w:eastAsia="宋体" w:cs="Times New Roman"/>
                <w:sz w:val="24"/>
                <w:highlight w:val="none"/>
              </w:rPr>
            </w:pPr>
          </w:p>
        </w:tc>
        <w:tc>
          <w:tcPr>
            <w:tcW w:w="6345" w:type="dxa"/>
            <w:shd w:val="clear" w:color="auto" w:fill="auto"/>
            <w:vAlign w:val="center"/>
          </w:tcPr>
          <w:p w14:paraId="1EC40D5B">
            <w:pPr>
              <w:rPr>
                <w:rFonts w:ascii="宋体" w:hAnsi="宋体" w:eastAsia="宋体" w:cs="Times New Roman"/>
                <w:sz w:val="24"/>
                <w:highlight w:val="none"/>
              </w:rPr>
            </w:pPr>
            <w:r>
              <w:rPr>
                <w:rFonts w:hint="eastAsia" w:ascii="宋体" w:hAnsi="宋体" w:eastAsia="宋体" w:cs="Times New Roman"/>
                <w:sz w:val="24"/>
                <w:highlight w:val="none"/>
              </w:rPr>
              <w:t>配置≥32个内存插槽，内存总容量≥1024GB，内存类型≥DDR4</w:t>
            </w:r>
          </w:p>
        </w:tc>
      </w:tr>
      <w:tr w14:paraId="6AD6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66A79701">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7</w:t>
            </w:r>
          </w:p>
        </w:tc>
        <w:tc>
          <w:tcPr>
            <w:tcW w:w="1245" w:type="dxa"/>
            <w:shd w:val="clear" w:color="auto" w:fill="auto"/>
            <w:vAlign w:val="center"/>
          </w:tcPr>
          <w:p w14:paraId="743BB7FE">
            <w:pPr>
              <w:jc w:val="center"/>
              <w:rPr>
                <w:rFonts w:ascii="宋体" w:hAnsi="宋体" w:eastAsia="宋体" w:cs="Times New Roman"/>
                <w:sz w:val="24"/>
                <w:highlight w:val="none"/>
              </w:rPr>
            </w:pPr>
            <w:r>
              <w:rPr>
                <w:rFonts w:hint="eastAsia" w:ascii="宋体" w:hAnsi="宋体" w:eastAsia="宋体" w:cs="Times New Roman"/>
                <w:sz w:val="24"/>
                <w:highlight w:val="none"/>
              </w:rPr>
              <w:t>硬盘</w:t>
            </w:r>
          </w:p>
        </w:tc>
        <w:tc>
          <w:tcPr>
            <w:tcW w:w="1296" w:type="dxa"/>
            <w:shd w:val="clear" w:color="auto" w:fill="auto"/>
            <w:vAlign w:val="center"/>
          </w:tcPr>
          <w:p w14:paraId="3E924396">
            <w:pPr>
              <w:jc w:val="center"/>
              <w:rPr>
                <w:rFonts w:ascii="宋体" w:hAnsi="宋体" w:eastAsia="宋体" w:cs="Times New Roman"/>
                <w:sz w:val="24"/>
                <w:highlight w:val="none"/>
              </w:rPr>
            </w:pPr>
          </w:p>
        </w:tc>
        <w:tc>
          <w:tcPr>
            <w:tcW w:w="6345" w:type="dxa"/>
            <w:shd w:val="clear" w:color="auto" w:fill="auto"/>
            <w:vAlign w:val="center"/>
          </w:tcPr>
          <w:p w14:paraId="03E9F39E">
            <w:pPr>
              <w:rPr>
                <w:rFonts w:ascii="宋体" w:hAnsi="宋体" w:eastAsia="宋体" w:cs="Times New Roman"/>
                <w:sz w:val="24"/>
                <w:highlight w:val="none"/>
              </w:rPr>
            </w:pPr>
            <w:r>
              <w:rPr>
                <w:rFonts w:hint="eastAsia" w:ascii="宋体" w:hAnsi="宋体" w:eastAsia="宋体" w:cs="Times New Roman"/>
                <w:sz w:val="24"/>
                <w:highlight w:val="none"/>
              </w:rPr>
              <w:t>配置不低于480GB SSD企业级硬盘，数量≥2块；配置不低于</w:t>
            </w:r>
            <w:r>
              <w:rPr>
                <w:rFonts w:ascii="宋体" w:hAnsi="宋体" w:eastAsia="宋体" w:cs="Times New Roman"/>
                <w:sz w:val="24"/>
                <w:highlight w:val="none"/>
              </w:rPr>
              <w:t>3840GB</w:t>
            </w:r>
            <w:r>
              <w:rPr>
                <w:rFonts w:hint="eastAsia" w:ascii="宋体" w:hAnsi="宋体" w:eastAsia="宋体" w:cs="Times New Roman"/>
                <w:sz w:val="24"/>
                <w:highlight w:val="none"/>
              </w:rPr>
              <w:t>NVME SSD企业级硬盘，数量≥2块。</w:t>
            </w:r>
          </w:p>
        </w:tc>
      </w:tr>
      <w:tr w14:paraId="4481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shd w:val="clear" w:color="auto" w:fill="auto"/>
            <w:vAlign w:val="center"/>
          </w:tcPr>
          <w:p w14:paraId="50E1544A">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8</w:t>
            </w:r>
          </w:p>
        </w:tc>
        <w:tc>
          <w:tcPr>
            <w:tcW w:w="1245" w:type="dxa"/>
            <w:shd w:val="clear" w:color="auto" w:fill="auto"/>
            <w:vAlign w:val="center"/>
          </w:tcPr>
          <w:p w14:paraId="1EC7BF42">
            <w:pPr>
              <w:jc w:val="center"/>
              <w:rPr>
                <w:rFonts w:ascii="宋体" w:hAnsi="宋体" w:eastAsia="宋体" w:cs="Times New Roman"/>
                <w:sz w:val="24"/>
                <w:highlight w:val="none"/>
              </w:rPr>
            </w:pPr>
            <w:r>
              <w:rPr>
                <w:rFonts w:hint="eastAsia" w:ascii="宋体" w:hAnsi="宋体" w:eastAsia="宋体" w:cs="Times New Roman"/>
                <w:sz w:val="24"/>
                <w:highlight w:val="none"/>
              </w:rPr>
              <w:t>磁盘控制器</w:t>
            </w:r>
          </w:p>
        </w:tc>
        <w:tc>
          <w:tcPr>
            <w:tcW w:w="1296" w:type="dxa"/>
            <w:shd w:val="clear" w:color="auto" w:fill="auto"/>
            <w:vAlign w:val="center"/>
          </w:tcPr>
          <w:p w14:paraId="065E219A">
            <w:pPr>
              <w:jc w:val="center"/>
              <w:rPr>
                <w:rFonts w:ascii="宋体" w:hAnsi="宋体" w:eastAsia="宋体" w:cs="Times New Roman"/>
                <w:sz w:val="24"/>
                <w:highlight w:val="none"/>
              </w:rPr>
            </w:pPr>
          </w:p>
        </w:tc>
        <w:tc>
          <w:tcPr>
            <w:tcW w:w="6345" w:type="dxa"/>
            <w:shd w:val="clear" w:color="auto" w:fill="auto"/>
            <w:vAlign w:val="center"/>
          </w:tcPr>
          <w:p w14:paraId="191EEA2D">
            <w:pPr>
              <w:rPr>
                <w:rFonts w:ascii="宋体" w:hAnsi="宋体" w:eastAsia="宋体" w:cs="Times New Roman"/>
                <w:sz w:val="24"/>
                <w:highlight w:val="none"/>
              </w:rPr>
            </w:pPr>
            <w:r>
              <w:rPr>
                <w:rFonts w:hint="eastAsia" w:ascii="宋体" w:hAnsi="宋体" w:eastAsia="宋体" w:cs="Times New Roman"/>
                <w:sz w:val="24"/>
                <w:highlight w:val="none"/>
              </w:rPr>
              <w:t>板载直出或LSI，3008 IT、3108、3008 iMR、3004 iMR、3408 iMR、3216、3316、3508、3516、3416 IT、3408 IT、3416 iMR、3808、3816、3908、3916</w:t>
            </w:r>
          </w:p>
        </w:tc>
      </w:tr>
      <w:tr w14:paraId="399D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22C3DB61">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9</w:t>
            </w:r>
          </w:p>
        </w:tc>
        <w:tc>
          <w:tcPr>
            <w:tcW w:w="1245" w:type="dxa"/>
            <w:shd w:val="clear" w:color="auto" w:fill="auto"/>
            <w:vAlign w:val="center"/>
          </w:tcPr>
          <w:p w14:paraId="46F77C1C">
            <w:pPr>
              <w:jc w:val="center"/>
              <w:rPr>
                <w:rFonts w:ascii="宋体" w:hAnsi="宋体" w:eastAsia="宋体" w:cs="Times New Roman"/>
                <w:sz w:val="24"/>
                <w:highlight w:val="none"/>
              </w:rPr>
            </w:pPr>
            <w:r>
              <w:rPr>
                <w:rFonts w:hint="eastAsia" w:ascii="宋体" w:hAnsi="宋体" w:eastAsia="宋体" w:cs="Times New Roman"/>
                <w:sz w:val="24"/>
                <w:highlight w:val="none"/>
              </w:rPr>
              <w:t>网卡</w:t>
            </w:r>
          </w:p>
        </w:tc>
        <w:tc>
          <w:tcPr>
            <w:tcW w:w="1296" w:type="dxa"/>
            <w:shd w:val="clear" w:color="auto" w:fill="auto"/>
            <w:vAlign w:val="center"/>
          </w:tcPr>
          <w:p w14:paraId="15A91076">
            <w:pPr>
              <w:jc w:val="center"/>
              <w:rPr>
                <w:rFonts w:ascii="宋体" w:hAnsi="宋体" w:eastAsia="宋体" w:cs="Times New Roman"/>
                <w:sz w:val="24"/>
                <w:highlight w:val="none"/>
              </w:rPr>
            </w:pPr>
          </w:p>
        </w:tc>
        <w:tc>
          <w:tcPr>
            <w:tcW w:w="6345" w:type="dxa"/>
            <w:shd w:val="clear" w:color="auto" w:fill="auto"/>
            <w:vAlign w:val="center"/>
          </w:tcPr>
          <w:p w14:paraId="13D5CBA5">
            <w:pPr>
              <w:rPr>
                <w:rFonts w:ascii="宋体" w:hAnsi="宋体" w:eastAsia="宋体" w:cs="Times New Roman"/>
                <w:sz w:val="24"/>
                <w:highlight w:val="none"/>
              </w:rPr>
            </w:pPr>
            <w:r>
              <w:rPr>
                <w:rFonts w:hint="eastAsia" w:ascii="宋体" w:hAnsi="宋体" w:eastAsia="宋体" w:cs="Times New Roman"/>
                <w:sz w:val="24"/>
                <w:highlight w:val="none"/>
              </w:rPr>
              <w:t>配置≥2*25GE光口，配置≥8*200GE光口，满配光模块。</w:t>
            </w:r>
          </w:p>
        </w:tc>
      </w:tr>
      <w:tr w14:paraId="3D06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44" w:type="dxa"/>
            <w:shd w:val="clear" w:color="auto" w:fill="auto"/>
            <w:vAlign w:val="center"/>
          </w:tcPr>
          <w:p w14:paraId="1AA2F8EE">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10</w:t>
            </w:r>
          </w:p>
        </w:tc>
        <w:tc>
          <w:tcPr>
            <w:tcW w:w="1245" w:type="dxa"/>
            <w:shd w:val="clear" w:color="auto" w:fill="auto"/>
            <w:vAlign w:val="center"/>
          </w:tcPr>
          <w:p w14:paraId="633E3E39">
            <w:pPr>
              <w:jc w:val="center"/>
              <w:rPr>
                <w:rFonts w:ascii="宋体" w:hAnsi="宋体" w:eastAsia="宋体" w:cs="Times New Roman"/>
                <w:sz w:val="24"/>
                <w:highlight w:val="none"/>
              </w:rPr>
            </w:pPr>
            <w:r>
              <w:rPr>
                <w:rFonts w:hint="eastAsia" w:ascii="宋体" w:hAnsi="宋体" w:eastAsia="宋体" w:cs="Times New Roman"/>
                <w:sz w:val="24"/>
                <w:highlight w:val="none"/>
              </w:rPr>
              <w:t>电源</w:t>
            </w:r>
          </w:p>
        </w:tc>
        <w:tc>
          <w:tcPr>
            <w:tcW w:w="1296" w:type="dxa"/>
            <w:shd w:val="clear" w:color="auto" w:fill="auto"/>
            <w:vAlign w:val="center"/>
          </w:tcPr>
          <w:p w14:paraId="6EA792C2">
            <w:pPr>
              <w:jc w:val="center"/>
              <w:rPr>
                <w:rFonts w:ascii="宋体" w:hAnsi="宋体" w:eastAsia="宋体" w:cs="Times New Roman"/>
                <w:sz w:val="24"/>
                <w:highlight w:val="none"/>
              </w:rPr>
            </w:pPr>
          </w:p>
        </w:tc>
        <w:tc>
          <w:tcPr>
            <w:tcW w:w="6345" w:type="dxa"/>
            <w:shd w:val="clear" w:color="auto" w:fill="auto"/>
            <w:vAlign w:val="center"/>
          </w:tcPr>
          <w:p w14:paraId="03010A2B">
            <w:pPr>
              <w:rPr>
                <w:rFonts w:ascii="宋体" w:hAnsi="宋体" w:eastAsia="宋体" w:cs="Times New Roman"/>
                <w:sz w:val="24"/>
                <w:highlight w:val="none"/>
              </w:rPr>
            </w:pPr>
            <w:r>
              <w:rPr>
                <w:rFonts w:hint="eastAsia" w:ascii="宋体" w:hAnsi="宋体" w:eastAsia="宋体" w:cs="Times New Roman"/>
                <w:sz w:val="24"/>
                <w:highlight w:val="none"/>
              </w:rPr>
              <w:t>配置≥4块交流电源模块，支持2+2冗余</w:t>
            </w:r>
          </w:p>
        </w:tc>
      </w:tr>
      <w:tr w14:paraId="045A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49C38F64">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11</w:t>
            </w:r>
          </w:p>
        </w:tc>
        <w:tc>
          <w:tcPr>
            <w:tcW w:w="1245" w:type="dxa"/>
            <w:shd w:val="clear" w:color="auto" w:fill="auto"/>
            <w:vAlign w:val="center"/>
          </w:tcPr>
          <w:p w14:paraId="22104AA5">
            <w:pPr>
              <w:jc w:val="center"/>
              <w:rPr>
                <w:rFonts w:ascii="宋体" w:hAnsi="宋体" w:eastAsia="宋体" w:cs="Times New Roman"/>
                <w:sz w:val="24"/>
                <w:highlight w:val="none"/>
              </w:rPr>
            </w:pPr>
            <w:r>
              <w:rPr>
                <w:rFonts w:hint="eastAsia" w:ascii="宋体" w:hAnsi="宋体" w:eastAsia="宋体" w:cs="Times New Roman"/>
                <w:sz w:val="24"/>
                <w:highlight w:val="none"/>
              </w:rPr>
              <w:t>散热</w:t>
            </w:r>
          </w:p>
        </w:tc>
        <w:tc>
          <w:tcPr>
            <w:tcW w:w="1296" w:type="dxa"/>
            <w:shd w:val="clear" w:color="auto" w:fill="auto"/>
            <w:vAlign w:val="center"/>
          </w:tcPr>
          <w:p w14:paraId="4CD58329">
            <w:pPr>
              <w:jc w:val="center"/>
              <w:rPr>
                <w:rFonts w:ascii="宋体" w:hAnsi="宋体" w:eastAsia="宋体" w:cs="Times New Roman"/>
                <w:sz w:val="24"/>
                <w:highlight w:val="none"/>
              </w:rPr>
            </w:pPr>
          </w:p>
        </w:tc>
        <w:tc>
          <w:tcPr>
            <w:tcW w:w="6345" w:type="dxa"/>
            <w:shd w:val="clear" w:color="auto" w:fill="auto"/>
            <w:vAlign w:val="center"/>
          </w:tcPr>
          <w:p w14:paraId="61E5B297">
            <w:pPr>
              <w:rPr>
                <w:rFonts w:ascii="宋体" w:hAnsi="宋体" w:eastAsia="宋体" w:cs="Times New Roman"/>
                <w:sz w:val="24"/>
                <w:highlight w:val="none"/>
              </w:rPr>
            </w:pPr>
            <w:r>
              <w:rPr>
                <w:rFonts w:hint="eastAsia" w:ascii="宋体" w:hAnsi="宋体" w:eastAsia="宋体" w:cs="Times New Roman"/>
                <w:sz w:val="24"/>
                <w:highlight w:val="none"/>
              </w:rPr>
              <w:t>配置热拔插风扇模组，支持N+1冗余。</w:t>
            </w:r>
          </w:p>
        </w:tc>
      </w:tr>
      <w:tr w14:paraId="50BB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752D20F3">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1</w:t>
            </w:r>
            <w:r>
              <w:rPr>
                <w:rFonts w:ascii="宋体" w:hAnsi="宋体" w:eastAsia="宋体" w:cs="Times New Roman"/>
                <w:sz w:val="24"/>
                <w:highlight w:val="none"/>
              </w:rPr>
              <w:t>2</w:t>
            </w:r>
          </w:p>
        </w:tc>
        <w:tc>
          <w:tcPr>
            <w:tcW w:w="1245" w:type="dxa"/>
            <w:shd w:val="clear" w:color="auto" w:fill="auto"/>
            <w:vAlign w:val="center"/>
          </w:tcPr>
          <w:p w14:paraId="5F55F965">
            <w:pPr>
              <w:jc w:val="center"/>
              <w:rPr>
                <w:rFonts w:ascii="宋体" w:hAnsi="宋体" w:eastAsia="宋体" w:cs="Times New Roman"/>
                <w:sz w:val="24"/>
                <w:highlight w:val="none"/>
              </w:rPr>
            </w:pPr>
            <w:r>
              <w:rPr>
                <w:rFonts w:hint="eastAsia" w:ascii="宋体" w:hAnsi="宋体" w:eastAsia="宋体" w:cs="Times New Roman"/>
                <w:sz w:val="24"/>
                <w:highlight w:val="none"/>
              </w:rPr>
              <w:t>单台服务器性能</w:t>
            </w:r>
          </w:p>
        </w:tc>
        <w:tc>
          <w:tcPr>
            <w:tcW w:w="1296" w:type="dxa"/>
            <w:shd w:val="clear" w:color="auto" w:fill="auto"/>
            <w:vAlign w:val="center"/>
          </w:tcPr>
          <w:p w14:paraId="004D7FEC">
            <w:pPr>
              <w:jc w:val="center"/>
              <w:rPr>
                <w:rFonts w:ascii="宋体" w:hAnsi="宋体" w:eastAsia="宋体" w:cs="Times New Roman"/>
                <w:sz w:val="24"/>
                <w:highlight w:val="none"/>
              </w:rPr>
            </w:pPr>
            <w:r>
              <w:rPr>
                <w:rFonts w:hint="eastAsia" w:ascii="宋体" w:hAnsi="宋体" w:eastAsia="宋体" w:cs="Times New Roman"/>
                <w:sz w:val="24"/>
                <w:highlight w:val="none"/>
              </w:rPr>
              <w:t>#</w:t>
            </w:r>
          </w:p>
        </w:tc>
        <w:tc>
          <w:tcPr>
            <w:tcW w:w="6345" w:type="dxa"/>
            <w:shd w:val="clear" w:color="auto" w:fill="auto"/>
            <w:vAlign w:val="center"/>
          </w:tcPr>
          <w:p w14:paraId="38312740">
            <w:pPr>
              <w:rPr>
                <w:rFonts w:ascii="宋体" w:hAnsi="宋体" w:eastAsia="宋体" w:cs="Times New Roman"/>
                <w:sz w:val="24"/>
                <w:highlight w:val="none"/>
              </w:rPr>
            </w:pPr>
            <w:r>
              <w:rPr>
                <w:rFonts w:hint="eastAsia" w:ascii="宋体" w:hAnsi="宋体" w:eastAsia="宋体" w:cs="Times New Roman"/>
                <w:sz w:val="24"/>
                <w:highlight w:val="none"/>
              </w:rPr>
              <w:t>服务器搭载所有加速卡FP16数据格式的浮点运算性能总值不低于</w:t>
            </w:r>
            <w:r>
              <w:rPr>
                <w:rFonts w:ascii="宋体" w:hAnsi="宋体" w:eastAsia="宋体" w:cs="Times New Roman"/>
                <w:sz w:val="24"/>
                <w:highlight w:val="none"/>
              </w:rPr>
              <w:t>2.2</w:t>
            </w:r>
            <w:r>
              <w:rPr>
                <w:rFonts w:hint="eastAsia" w:ascii="宋体" w:hAnsi="宋体" w:eastAsia="宋体" w:cs="Times New Roman"/>
                <w:sz w:val="24"/>
                <w:highlight w:val="none"/>
              </w:rPr>
              <w:t>PFLOPS</w:t>
            </w:r>
            <w:r>
              <w:rPr>
                <w:rFonts w:ascii="宋体" w:hAnsi="宋体" w:eastAsia="宋体" w:cs="Times New Roman"/>
                <w:sz w:val="24"/>
                <w:highlight w:val="none"/>
              </w:rPr>
              <w:t>，需提供国家认可的认证（检测）机构出具的检测报告</w:t>
            </w:r>
          </w:p>
        </w:tc>
      </w:tr>
      <w:tr w14:paraId="4C38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2AB1DADB">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1</w:t>
            </w:r>
            <w:r>
              <w:rPr>
                <w:rFonts w:ascii="宋体" w:hAnsi="宋体" w:eastAsia="宋体" w:cs="Times New Roman"/>
                <w:sz w:val="24"/>
                <w:highlight w:val="none"/>
              </w:rPr>
              <w:t>3</w:t>
            </w:r>
          </w:p>
        </w:tc>
        <w:tc>
          <w:tcPr>
            <w:tcW w:w="1245" w:type="dxa"/>
            <w:vMerge w:val="restart"/>
            <w:shd w:val="clear" w:color="auto" w:fill="auto"/>
            <w:vAlign w:val="center"/>
          </w:tcPr>
          <w:p w14:paraId="0425DAB4">
            <w:pPr>
              <w:jc w:val="center"/>
              <w:rPr>
                <w:rFonts w:ascii="宋体" w:hAnsi="宋体" w:eastAsia="宋体" w:cs="Times New Roman"/>
                <w:sz w:val="24"/>
                <w:highlight w:val="none"/>
              </w:rPr>
            </w:pPr>
            <w:r>
              <w:rPr>
                <w:rFonts w:hint="eastAsia" w:ascii="宋体" w:hAnsi="宋体" w:eastAsia="宋体" w:cs="Times New Roman"/>
                <w:sz w:val="24"/>
                <w:highlight w:val="none"/>
              </w:rPr>
              <w:t>QWEN推理性能</w:t>
            </w:r>
          </w:p>
        </w:tc>
        <w:tc>
          <w:tcPr>
            <w:tcW w:w="1296" w:type="dxa"/>
            <w:shd w:val="clear" w:color="auto" w:fill="auto"/>
            <w:vAlign w:val="center"/>
          </w:tcPr>
          <w:p w14:paraId="3B43E862">
            <w:pPr>
              <w:jc w:val="center"/>
              <w:rPr>
                <w:rFonts w:ascii="宋体" w:hAnsi="宋体" w:eastAsia="宋体" w:cs="Times New Roman"/>
                <w:sz w:val="24"/>
                <w:highlight w:val="none"/>
              </w:rPr>
            </w:pPr>
            <w:r>
              <w:rPr>
                <w:rFonts w:hint="eastAsia" w:ascii="宋体" w:hAnsi="宋体" w:eastAsia="宋体" w:cs="Times New Roman"/>
                <w:sz w:val="24"/>
                <w:highlight w:val="none"/>
              </w:rPr>
              <w:t>#</w:t>
            </w:r>
          </w:p>
        </w:tc>
        <w:tc>
          <w:tcPr>
            <w:tcW w:w="6345" w:type="dxa"/>
            <w:shd w:val="clear" w:color="auto" w:fill="auto"/>
            <w:vAlign w:val="center"/>
          </w:tcPr>
          <w:p w14:paraId="3736CBE6">
            <w:pPr>
              <w:rPr>
                <w:rFonts w:ascii="宋体" w:hAnsi="宋体" w:eastAsia="宋体" w:cs="Times New Roman"/>
                <w:sz w:val="24"/>
                <w:highlight w:val="none"/>
              </w:rPr>
            </w:pPr>
            <w:r>
              <w:rPr>
                <w:rFonts w:hint="eastAsia" w:ascii="宋体" w:hAnsi="宋体" w:eastAsia="宋体" w:cs="Times New Roman"/>
                <w:sz w:val="24"/>
                <w:highlight w:val="none"/>
              </w:rPr>
              <w:t>单台服务器部署Qwen2.5-72B-Instruct模型推理系统，推理服务在1024</w:t>
            </w:r>
            <w:r>
              <w:rPr>
                <w:rFonts w:ascii="宋体" w:hAnsi="宋体" w:eastAsia="宋体" w:cs="Times New Roman"/>
                <w:sz w:val="24"/>
                <w:highlight w:val="none"/>
              </w:rPr>
              <w:t>/1024</w:t>
            </w:r>
            <w:r>
              <w:rPr>
                <w:rFonts w:hint="eastAsia" w:ascii="宋体" w:hAnsi="宋体" w:eastAsia="宋体" w:cs="Times New Roman"/>
                <w:sz w:val="24"/>
                <w:highlight w:val="none"/>
              </w:rPr>
              <w:t>token输入输出场景下，使用固定请求速率发送请求，响应首token 时延限制小于1s，输出下个token平均时延限制（TPOT）小于100ms</w:t>
            </w:r>
            <w:r>
              <w:rPr>
                <w:rFonts w:ascii="宋体" w:hAnsi="宋体" w:eastAsia="宋体" w:cs="Times New Roman"/>
                <w:sz w:val="24"/>
                <w:highlight w:val="none"/>
              </w:rPr>
              <w:t>，需提供国家认可的认证（检测）机构出具的检测报告</w:t>
            </w:r>
          </w:p>
        </w:tc>
      </w:tr>
      <w:tr w14:paraId="6021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33F393C0">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1</w:t>
            </w:r>
            <w:r>
              <w:rPr>
                <w:rFonts w:ascii="宋体" w:hAnsi="宋体" w:eastAsia="宋体" w:cs="Times New Roman"/>
                <w:sz w:val="24"/>
                <w:highlight w:val="none"/>
              </w:rPr>
              <w:t>4</w:t>
            </w:r>
          </w:p>
        </w:tc>
        <w:tc>
          <w:tcPr>
            <w:tcW w:w="1245" w:type="dxa"/>
            <w:vMerge w:val="continue"/>
            <w:shd w:val="clear" w:color="auto" w:fill="auto"/>
            <w:vAlign w:val="center"/>
          </w:tcPr>
          <w:p w14:paraId="2277F2BC">
            <w:pPr>
              <w:jc w:val="center"/>
              <w:rPr>
                <w:rFonts w:ascii="宋体" w:hAnsi="宋体" w:eastAsia="宋体" w:cs="Times New Roman"/>
                <w:sz w:val="24"/>
                <w:highlight w:val="none"/>
              </w:rPr>
            </w:pPr>
          </w:p>
        </w:tc>
        <w:tc>
          <w:tcPr>
            <w:tcW w:w="1296" w:type="dxa"/>
            <w:shd w:val="clear" w:color="auto" w:fill="auto"/>
            <w:vAlign w:val="center"/>
          </w:tcPr>
          <w:p w14:paraId="6EA7E2CC">
            <w:pPr>
              <w:jc w:val="center"/>
              <w:rPr>
                <w:rFonts w:ascii="宋体" w:hAnsi="宋体" w:eastAsia="宋体" w:cs="Times New Roman"/>
                <w:sz w:val="24"/>
                <w:highlight w:val="none"/>
              </w:rPr>
            </w:pPr>
            <w:r>
              <w:rPr>
                <w:rFonts w:hint="eastAsia" w:ascii="宋体" w:hAnsi="宋体" w:eastAsia="宋体" w:cs="Times New Roman"/>
                <w:sz w:val="24"/>
                <w:highlight w:val="none"/>
              </w:rPr>
              <w:t>#</w:t>
            </w:r>
          </w:p>
        </w:tc>
        <w:tc>
          <w:tcPr>
            <w:tcW w:w="6345" w:type="dxa"/>
            <w:shd w:val="clear" w:color="auto" w:fill="auto"/>
            <w:vAlign w:val="center"/>
          </w:tcPr>
          <w:p w14:paraId="39B49768">
            <w:pPr>
              <w:rPr>
                <w:rFonts w:ascii="宋体" w:hAnsi="宋体" w:eastAsia="宋体" w:cs="Times New Roman"/>
                <w:sz w:val="24"/>
                <w:highlight w:val="none"/>
              </w:rPr>
            </w:pPr>
            <w:r>
              <w:rPr>
                <w:rFonts w:hint="eastAsia" w:ascii="宋体" w:hAnsi="宋体" w:eastAsia="宋体" w:cs="Times New Roman"/>
                <w:sz w:val="24"/>
                <w:highlight w:val="none"/>
              </w:rPr>
              <w:t>单台服务器部署Qwen2.5-72B-Instruct模型推理系统，推理服务在2048</w:t>
            </w:r>
            <w:r>
              <w:rPr>
                <w:rFonts w:ascii="宋体" w:hAnsi="宋体" w:eastAsia="宋体" w:cs="Times New Roman"/>
                <w:sz w:val="24"/>
                <w:highlight w:val="none"/>
              </w:rPr>
              <w:t>/2048</w:t>
            </w:r>
            <w:r>
              <w:rPr>
                <w:rFonts w:hint="eastAsia" w:ascii="宋体" w:hAnsi="宋体" w:eastAsia="宋体" w:cs="Times New Roman"/>
                <w:sz w:val="24"/>
                <w:highlight w:val="none"/>
              </w:rPr>
              <w:t>token输入输出场景下，使用固定请求速率发送请求，响应首token时延限制小于于1s，输出下个token平均时延限制（TPOT）小于100ms</w:t>
            </w:r>
            <w:r>
              <w:rPr>
                <w:rFonts w:ascii="宋体" w:hAnsi="宋体" w:eastAsia="宋体" w:cs="Times New Roman"/>
                <w:sz w:val="24"/>
                <w:highlight w:val="none"/>
              </w:rPr>
              <w:t>，需提供国家认可的认证（检测）机构出具的检测报告</w:t>
            </w:r>
          </w:p>
        </w:tc>
      </w:tr>
      <w:tr w14:paraId="71BC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5E666029">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1</w:t>
            </w:r>
            <w:r>
              <w:rPr>
                <w:rFonts w:ascii="宋体" w:hAnsi="宋体" w:eastAsia="宋体" w:cs="Times New Roman"/>
                <w:sz w:val="24"/>
                <w:highlight w:val="none"/>
              </w:rPr>
              <w:t>5</w:t>
            </w:r>
          </w:p>
        </w:tc>
        <w:tc>
          <w:tcPr>
            <w:tcW w:w="1245" w:type="dxa"/>
            <w:vMerge w:val="restart"/>
            <w:shd w:val="clear" w:color="auto" w:fill="auto"/>
            <w:vAlign w:val="center"/>
          </w:tcPr>
          <w:p w14:paraId="1883E5C8">
            <w:pPr>
              <w:jc w:val="center"/>
              <w:rPr>
                <w:rFonts w:ascii="宋体" w:hAnsi="宋体" w:eastAsia="宋体" w:cs="Times New Roman"/>
                <w:sz w:val="24"/>
                <w:highlight w:val="none"/>
              </w:rPr>
            </w:pPr>
            <w:r>
              <w:rPr>
                <w:rFonts w:hint="eastAsia" w:ascii="宋体" w:hAnsi="宋体" w:eastAsia="宋体" w:cs="Times New Roman"/>
                <w:sz w:val="24"/>
                <w:highlight w:val="none"/>
              </w:rPr>
              <w:t>DeepSeek推理性能</w:t>
            </w:r>
          </w:p>
        </w:tc>
        <w:tc>
          <w:tcPr>
            <w:tcW w:w="1296" w:type="dxa"/>
            <w:shd w:val="clear" w:color="auto" w:fill="auto"/>
            <w:vAlign w:val="center"/>
          </w:tcPr>
          <w:p w14:paraId="1712D7D1">
            <w:pPr>
              <w:jc w:val="center"/>
              <w:rPr>
                <w:rFonts w:ascii="宋体" w:hAnsi="宋体" w:eastAsia="宋体" w:cs="Times New Roman"/>
                <w:sz w:val="24"/>
                <w:highlight w:val="none"/>
              </w:rPr>
            </w:pPr>
            <w:r>
              <w:rPr>
                <w:rFonts w:hint="eastAsia" w:ascii="宋体" w:hAnsi="宋体" w:eastAsia="宋体" w:cs="Times New Roman"/>
                <w:sz w:val="24"/>
                <w:highlight w:val="none"/>
              </w:rPr>
              <w:t>#</w:t>
            </w:r>
          </w:p>
        </w:tc>
        <w:tc>
          <w:tcPr>
            <w:tcW w:w="6345" w:type="dxa"/>
            <w:shd w:val="clear" w:color="auto" w:fill="auto"/>
            <w:vAlign w:val="center"/>
          </w:tcPr>
          <w:p w14:paraId="48EE1C35">
            <w:pPr>
              <w:rPr>
                <w:rFonts w:ascii="宋体" w:hAnsi="宋体" w:eastAsia="宋体" w:cs="Times New Roman"/>
                <w:sz w:val="24"/>
                <w:highlight w:val="none"/>
              </w:rPr>
            </w:pPr>
            <w:r>
              <w:rPr>
                <w:rFonts w:hint="eastAsia" w:ascii="宋体" w:hAnsi="宋体" w:eastAsia="宋体" w:cs="Times New Roman"/>
                <w:sz w:val="24"/>
                <w:highlight w:val="none"/>
              </w:rPr>
              <w:t>16 台服务器部署DeepSeek-R1 W8A8 模型推理系统，推理服务在1024</w:t>
            </w:r>
            <w:r>
              <w:rPr>
                <w:rFonts w:ascii="宋体" w:hAnsi="宋体" w:eastAsia="宋体" w:cs="Times New Roman"/>
                <w:sz w:val="24"/>
                <w:highlight w:val="none"/>
              </w:rPr>
              <w:t>/1024</w:t>
            </w:r>
            <w:r>
              <w:rPr>
                <w:rFonts w:hint="eastAsia" w:ascii="宋体" w:hAnsi="宋体" w:eastAsia="宋体" w:cs="Times New Roman"/>
                <w:sz w:val="24"/>
                <w:highlight w:val="none"/>
              </w:rPr>
              <w:t>token输入输出场景下，使用固定请求速率发送请求，响应首token时延限制小于1s，输出下个token 平均时延（TPOT）限制小于100ms</w:t>
            </w:r>
            <w:r>
              <w:rPr>
                <w:rFonts w:ascii="宋体" w:hAnsi="宋体" w:eastAsia="宋体" w:cs="Times New Roman"/>
                <w:sz w:val="24"/>
                <w:highlight w:val="none"/>
              </w:rPr>
              <w:t>，需提供国家认可的认证（检测）机构出具的检测报告</w:t>
            </w:r>
          </w:p>
        </w:tc>
      </w:tr>
      <w:tr w14:paraId="7F6F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16B6ADA6">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1</w:t>
            </w:r>
            <w:r>
              <w:rPr>
                <w:rFonts w:ascii="宋体" w:hAnsi="宋体" w:eastAsia="宋体" w:cs="Times New Roman"/>
                <w:sz w:val="24"/>
                <w:highlight w:val="none"/>
              </w:rPr>
              <w:t>6</w:t>
            </w:r>
          </w:p>
        </w:tc>
        <w:tc>
          <w:tcPr>
            <w:tcW w:w="1245" w:type="dxa"/>
            <w:vMerge w:val="continue"/>
            <w:shd w:val="clear" w:color="auto" w:fill="auto"/>
            <w:vAlign w:val="center"/>
          </w:tcPr>
          <w:p w14:paraId="7930722C">
            <w:pPr>
              <w:jc w:val="center"/>
              <w:rPr>
                <w:rFonts w:ascii="宋体" w:hAnsi="宋体" w:eastAsia="宋体" w:cs="Times New Roman"/>
                <w:sz w:val="24"/>
                <w:highlight w:val="none"/>
              </w:rPr>
            </w:pPr>
          </w:p>
        </w:tc>
        <w:tc>
          <w:tcPr>
            <w:tcW w:w="1296" w:type="dxa"/>
            <w:shd w:val="clear" w:color="auto" w:fill="auto"/>
            <w:vAlign w:val="center"/>
          </w:tcPr>
          <w:p w14:paraId="5298FD04">
            <w:pPr>
              <w:jc w:val="center"/>
              <w:rPr>
                <w:rFonts w:ascii="宋体" w:hAnsi="宋体" w:eastAsia="宋体" w:cs="Times New Roman"/>
                <w:sz w:val="24"/>
                <w:highlight w:val="none"/>
              </w:rPr>
            </w:pPr>
            <w:r>
              <w:rPr>
                <w:rFonts w:hint="eastAsia" w:ascii="宋体" w:hAnsi="宋体" w:eastAsia="宋体" w:cs="Times New Roman"/>
                <w:sz w:val="24"/>
                <w:highlight w:val="none"/>
              </w:rPr>
              <w:t>#</w:t>
            </w:r>
          </w:p>
        </w:tc>
        <w:tc>
          <w:tcPr>
            <w:tcW w:w="6345" w:type="dxa"/>
            <w:shd w:val="clear" w:color="auto" w:fill="auto"/>
            <w:vAlign w:val="center"/>
          </w:tcPr>
          <w:p w14:paraId="522F662F">
            <w:pPr>
              <w:rPr>
                <w:rFonts w:ascii="宋体" w:hAnsi="宋体" w:eastAsia="宋体" w:cs="Times New Roman"/>
                <w:sz w:val="24"/>
                <w:highlight w:val="none"/>
              </w:rPr>
            </w:pPr>
            <w:r>
              <w:rPr>
                <w:rFonts w:hint="eastAsia" w:ascii="宋体" w:hAnsi="宋体" w:eastAsia="宋体" w:cs="Times New Roman"/>
                <w:sz w:val="24"/>
                <w:highlight w:val="none"/>
              </w:rPr>
              <w:t>16 台服务器部署DeepSeek-R1 W8A8模型推理系统，推理服务在2048</w:t>
            </w:r>
            <w:r>
              <w:rPr>
                <w:rFonts w:ascii="宋体" w:hAnsi="宋体" w:eastAsia="宋体" w:cs="Times New Roman"/>
                <w:sz w:val="24"/>
                <w:highlight w:val="none"/>
              </w:rPr>
              <w:t>/2048</w:t>
            </w:r>
            <w:r>
              <w:rPr>
                <w:rFonts w:hint="eastAsia" w:ascii="宋体" w:hAnsi="宋体" w:eastAsia="宋体" w:cs="Times New Roman"/>
                <w:sz w:val="24"/>
                <w:highlight w:val="none"/>
              </w:rPr>
              <w:t>token输入输出场景下，使用固定请求速率发送请求，响应首token时延限制小于1s，输出下个token平均时延（TPOT）限制小于100ms</w:t>
            </w:r>
            <w:r>
              <w:rPr>
                <w:rFonts w:ascii="宋体" w:hAnsi="宋体" w:eastAsia="宋体" w:cs="Times New Roman"/>
                <w:sz w:val="24"/>
                <w:highlight w:val="none"/>
              </w:rPr>
              <w:t>，需提供国家认可的认证（检测）机构出具的检测报告</w:t>
            </w:r>
          </w:p>
        </w:tc>
      </w:tr>
      <w:tr w14:paraId="25A2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61EA35B2">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1</w:t>
            </w:r>
            <w:r>
              <w:rPr>
                <w:rFonts w:ascii="宋体" w:hAnsi="宋体" w:eastAsia="宋体" w:cs="Times New Roman"/>
                <w:sz w:val="24"/>
                <w:highlight w:val="none"/>
              </w:rPr>
              <w:t>7</w:t>
            </w:r>
          </w:p>
        </w:tc>
        <w:tc>
          <w:tcPr>
            <w:tcW w:w="1245" w:type="dxa"/>
            <w:shd w:val="clear" w:color="auto" w:fill="auto"/>
            <w:vAlign w:val="center"/>
          </w:tcPr>
          <w:p w14:paraId="04D1FA72">
            <w:pPr>
              <w:jc w:val="center"/>
              <w:rPr>
                <w:rFonts w:ascii="宋体" w:hAnsi="宋体" w:eastAsia="宋体" w:cs="Times New Roman"/>
                <w:sz w:val="24"/>
                <w:highlight w:val="none"/>
              </w:rPr>
            </w:pPr>
            <w:r>
              <w:rPr>
                <w:rFonts w:hint="eastAsia" w:ascii="宋体" w:hAnsi="宋体" w:eastAsia="宋体" w:cs="Times New Roman"/>
                <w:sz w:val="24"/>
                <w:highlight w:val="none"/>
              </w:rPr>
              <w:t>服务</w:t>
            </w:r>
          </w:p>
        </w:tc>
        <w:tc>
          <w:tcPr>
            <w:tcW w:w="1296" w:type="dxa"/>
            <w:shd w:val="clear" w:color="auto" w:fill="auto"/>
            <w:vAlign w:val="center"/>
          </w:tcPr>
          <w:p w14:paraId="5C8DBA74">
            <w:pPr>
              <w:jc w:val="center"/>
              <w:rPr>
                <w:rFonts w:ascii="宋体" w:hAnsi="宋体" w:eastAsia="宋体" w:cs="Times New Roman"/>
                <w:sz w:val="24"/>
                <w:highlight w:val="none"/>
              </w:rPr>
            </w:pPr>
          </w:p>
        </w:tc>
        <w:tc>
          <w:tcPr>
            <w:tcW w:w="6345" w:type="dxa"/>
            <w:shd w:val="clear" w:color="auto" w:fill="auto"/>
            <w:vAlign w:val="center"/>
          </w:tcPr>
          <w:p w14:paraId="4C82852F">
            <w:pPr>
              <w:rPr>
                <w:rFonts w:ascii="宋体" w:hAnsi="宋体" w:eastAsia="宋体" w:cs="Times New Roman"/>
                <w:sz w:val="24"/>
                <w:highlight w:val="none"/>
              </w:rPr>
            </w:pPr>
            <w:r>
              <w:rPr>
                <w:rFonts w:hint="eastAsia" w:ascii="宋体" w:hAnsi="宋体" w:eastAsia="宋体" w:cs="Times New Roman"/>
                <w:sz w:val="24"/>
                <w:highlight w:val="none"/>
              </w:rPr>
              <w:t>提供原厂安装服务、故障硬盘不返还服务、原厂3年维保服务，</w:t>
            </w:r>
            <w:r>
              <w:rPr>
                <w:rFonts w:ascii="宋体" w:hAnsi="宋体" w:eastAsia="宋体" w:cs="Times New Roman"/>
                <w:sz w:val="24"/>
                <w:highlight w:val="none"/>
              </w:rPr>
              <w:t>投标人</w:t>
            </w:r>
            <w:r>
              <w:rPr>
                <w:rFonts w:hint="eastAsia" w:ascii="宋体" w:hAnsi="宋体" w:eastAsia="宋体" w:cs="Times New Roman"/>
                <w:sz w:val="24"/>
                <w:highlight w:val="none"/>
              </w:rPr>
              <w:t>提供承诺函并加盖投标人公章</w:t>
            </w:r>
          </w:p>
        </w:tc>
      </w:tr>
      <w:tr w14:paraId="3ED8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4E047C75">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1</w:t>
            </w:r>
            <w:r>
              <w:rPr>
                <w:rFonts w:ascii="宋体" w:hAnsi="宋体" w:eastAsia="宋体" w:cs="Times New Roman"/>
                <w:sz w:val="24"/>
                <w:highlight w:val="none"/>
              </w:rPr>
              <w:t>8</w:t>
            </w:r>
          </w:p>
        </w:tc>
        <w:tc>
          <w:tcPr>
            <w:tcW w:w="1245" w:type="dxa"/>
            <w:shd w:val="clear" w:color="auto" w:fill="auto"/>
            <w:vAlign w:val="center"/>
          </w:tcPr>
          <w:p w14:paraId="33452AD5">
            <w:pPr>
              <w:jc w:val="center"/>
              <w:rPr>
                <w:rFonts w:ascii="宋体" w:hAnsi="宋体" w:eastAsia="宋体" w:cs="Times New Roman"/>
                <w:sz w:val="24"/>
                <w:highlight w:val="none"/>
              </w:rPr>
            </w:pPr>
            <w:r>
              <w:rPr>
                <w:rFonts w:hint="eastAsia" w:ascii="宋体" w:hAnsi="宋体" w:eastAsia="宋体" w:cs="Times New Roman"/>
                <w:sz w:val="24"/>
                <w:highlight w:val="none"/>
              </w:rPr>
              <w:t>其他</w:t>
            </w:r>
          </w:p>
        </w:tc>
        <w:tc>
          <w:tcPr>
            <w:tcW w:w="1296" w:type="dxa"/>
            <w:shd w:val="clear" w:color="auto" w:fill="auto"/>
            <w:vAlign w:val="center"/>
          </w:tcPr>
          <w:p w14:paraId="4519583A">
            <w:pPr>
              <w:jc w:val="center"/>
              <w:rPr>
                <w:rFonts w:ascii="宋体" w:hAnsi="宋体" w:eastAsia="宋体" w:cs="Times New Roman"/>
                <w:sz w:val="24"/>
                <w:highlight w:val="none"/>
              </w:rPr>
            </w:pPr>
          </w:p>
        </w:tc>
        <w:tc>
          <w:tcPr>
            <w:tcW w:w="6345" w:type="dxa"/>
            <w:shd w:val="clear" w:color="auto" w:fill="auto"/>
            <w:vAlign w:val="center"/>
          </w:tcPr>
          <w:p w14:paraId="5EC0A516">
            <w:pPr>
              <w:rPr>
                <w:rFonts w:ascii="宋体" w:hAnsi="宋体" w:eastAsia="宋体" w:cs="Times New Roman"/>
                <w:sz w:val="24"/>
                <w:highlight w:val="none"/>
              </w:rPr>
            </w:pPr>
            <w:r>
              <w:rPr>
                <w:rFonts w:hint="eastAsia" w:ascii="宋体" w:hAnsi="宋体" w:eastAsia="宋体" w:cs="Times New Roman"/>
                <w:sz w:val="24"/>
                <w:highlight w:val="none"/>
              </w:rPr>
              <w:t>支持DeepSeek、通义千问等主流大模型的部署实施</w:t>
            </w:r>
          </w:p>
        </w:tc>
      </w:tr>
    </w:tbl>
    <w:p w14:paraId="7FF926C4">
      <w:pPr>
        <w:spacing w:line="360" w:lineRule="auto"/>
        <w:ind w:firstLine="480" w:firstLineChars="200"/>
        <w:contextualSpacing/>
        <w:rPr>
          <w:rFonts w:ascii="宋体" w:hAnsi="宋体" w:eastAsia="宋体" w:cs="宋体"/>
          <w:sz w:val="24"/>
          <w:highlight w:val="none"/>
        </w:rPr>
      </w:pPr>
    </w:p>
    <w:p w14:paraId="2E5BB9F0">
      <w:pPr>
        <w:keepNext/>
        <w:numPr>
          <w:ilvl w:val="5"/>
          <w:numId w:val="1"/>
        </w:numPr>
        <w:spacing w:before="240" w:beforeLines="100" w:after="120" w:afterLines="50" w:line="360" w:lineRule="auto"/>
        <w:ind w:left="640" w:hanging="640"/>
        <w:outlineLvl w:val="5"/>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GPU服务器2</w:t>
      </w:r>
    </w:p>
    <w:p w14:paraId="091B00F3">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在满足服务器通用参数的基础上，GPU服务器2需满足的其他参数要求</w:t>
      </w:r>
    </w:p>
    <w:tbl>
      <w:tblPr>
        <w:tblStyle w:val="2"/>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5"/>
        <w:gridCol w:w="1334"/>
        <w:gridCol w:w="6345"/>
      </w:tblGrid>
      <w:tr w14:paraId="37B2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0F6037E7">
            <w:pPr>
              <w:spacing w:line="360" w:lineRule="auto"/>
              <w:jc w:val="center"/>
              <w:rPr>
                <w:rFonts w:ascii="宋体" w:hAnsi="宋体" w:eastAsia="宋体" w:cs="Times New Roman"/>
                <w:b/>
                <w:bCs/>
                <w:sz w:val="24"/>
                <w:highlight w:val="none"/>
              </w:rPr>
            </w:pPr>
            <w:r>
              <w:rPr>
                <w:rFonts w:hint="eastAsia" w:ascii="宋体" w:hAnsi="宋体" w:eastAsia="宋体" w:cs="Times New Roman"/>
                <w:b/>
                <w:bCs/>
                <w:sz w:val="24"/>
                <w:highlight w:val="none"/>
              </w:rPr>
              <w:t>序号</w:t>
            </w:r>
          </w:p>
        </w:tc>
        <w:tc>
          <w:tcPr>
            <w:tcW w:w="1245" w:type="dxa"/>
            <w:shd w:val="clear" w:color="auto" w:fill="auto"/>
            <w:vAlign w:val="center"/>
          </w:tcPr>
          <w:p w14:paraId="4E2094C2">
            <w:pPr>
              <w:spacing w:line="360" w:lineRule="auto"/>
              <w:jc w:val="center"/>
              <w:rPr>
                <w:rFonts w:ascii="宋体" w:hAnsi="宋体" w:eastAsia="宋体" w:cs="Times New Roman"/>
                <w:b/>
                <w:bCs/>
                <w:sz w:val="24"/>
                <w:highlight w:val="none"/>
              </w:rPr>
            </w:pPr>
            <w:r>
              <w:rPr>
                <w:rFonts w:hint="eastAsia" w:ascii="宋体" w:hAnsi="宋体" w:eastAsia="宋体" w:cs="Times New Roman"/>
                <w:b/>
                <w:bCs/>
                <w:sz w:val="24"/>
                <w:highlight w:val="none"/>
              </w:rPr>
              <w:t>指标项</w:t>
            </w:r>
          </w:p>
        </w:tc>
        <w:tc>
          <w:tcPr>
            <w:tcW w:w="1334" w:type="dxa"/>
            <w:shd w:val="clear" w:color="auto" w:fill="auto"/>
            <w:vAlign w:val="center"/>
          </w:tcPr>
          <w:p w14:paraId="44D9195A">
            <w:pPr>
              <w:spacing w:line="360" w:lineRule="auto"/>
              <w:jc w:val="center"/>
              <w:rPr>
                <w:rFonts w:ascii="宋体" w:hAnsi="宋体" w:eastAsia="宋体" w:cs="Times New Roman"/>
                <w:b/>
                <w:bCs/>
                <w:sz w:val="24"/>
                <w:highlight w:val="none"/>
              </w:rPr>
            </w:pPr>
            <w:r>
              <w:rPr>
                <w:rFonts w:hint="eastAsia" w:ascii="宋体" w:hAnsi="宋体" w:eastAsia="宋体" w:cs="Times New Roman"/>
                <w:b/>
                <w:bCs/>
                <w:sz w:val="24"/>
                <w:highlight w:val="none"/>
              </w:rPr>
              <w:t>重要性</w:t>
            </w:r>
          </w:p>
        </w:tc>
        <w:tc>
          <w:tcPr>
            <w:tcW w:w="6345" w:type="dxa"/>
            <w:shd w:val="clear" w:color="auto" w:fill="auto"/>
            <w:vAlign w:val="center"/>
          </w:tcPr>
          <w:p w14:paraId="4BF4D1FA">
            <w:pPr>
              <w:spacing w:line="360" w:lineRule="auto"/>
              <w:jc w:val="center"/>
              <w:rPr>
                <w:rFonts w:ascii="宋体" w:hAnsi="宋体" w:eastAsia="宋体" w:cs="Times New Roman"/>
                <w:b/>
                <w:bCs/>
                <w:sz w:val="24"/>
                <w:highlight w:val="none"/>
              </w:rPr>
            </w:pPr>
            <w:r>
              <w:rPr>
                <w:rFonts w:hint="eastAsia" w:ascii="宋体" w:hAnsi="宋体" w:eastAsia="宋体" w:cs="Times New Roman"/>
                <w:b/>
                <w:bCs/>
                <w:sz w:val="24"/>
                <w:highlight w:val="none"/>
              </w:rPr>
              <w:t>指标要求</w:t>
            </w:r>
          </w:p>
        </w:tc>
      </w:tr>
      <w:tr w14:paraId="27AE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72144CC6">
            <w:pPr>
              <w:ind w:left="425" w:hanging="425"/>
              <w:jc w:val="center"/>
              <w:rPr>
                <w:rFonts w:ascii="宋体" w:hAnsi="宋体" w:eastAsia="宋体" w:cs="Times New Roman"/>
                <w:sz w:val="24"/>
                <w:highlight w:val="none"/>
              </w:rPr>
            </w:pPr>
            <w:r>
              <w:rPr>
                <w:rFonts w:ascii="宋体" w:hAnsi="宋体" w:eastAsia="宋体" w:cs="Times New Roman"/>
                <w:sz w:val="24"/>
                <w:highlight w:val="none"/>
              </w:rPr>
              <w:t>1</w:t>
            </w:r>
          </w:p>
        </w:tc>
        <w:tc>
          <w:tcPr>
            <w:tcW w:w="1245" w:type="dxa"/>
            <w:shd w:val="clear" w:color="auto" w:fill="auto"/>
            <w:vAlign w:val="center"/>
          </w:tcPr>
          <w:p w14:paraId="0245B798">
            <w:pPr>
              <w:jc w:val="center"/>
              <w:rPr>
                <w:rFonts w:ascii="宋体" w:hAnsi="宋体" w:eastAsia="宋体" w:cs="Times New Roman"/>
                <w:sz w:val="24"/>
                <w:highlight w:val="none"/>
              </w:rPr>
            </w:pPr>
            <w:r>
              <w:rPr>
                <w:rFonts w:hint="eastAsia" w:ascii="宋体" w:hAnsi="宋体" w:eastAsia="宋体" w:cs="Times New Roman"/>
                <w:sz w:val="24"/>
                <w:highlight w:val="none"/>
              </w:rPr>
              <w:t>CPU规格</w:t>
            </w:r>
          </w:p>
        </w:tc>
        <w:tc>
          <w:tcPr>
            <w:tcW w:w="1334" w:type="dxa"/>
            <w:shd w:val="clear" w:color="auto" w:fill="auto"/>
            <w:vAlign w:val="center"/>
          </w:tcPr>
          <w:p w14:paraId="0EA588AA">
            <w:pPr>
              <w:jc w:val="center"/>
              <w:rPr>
                <w:rFonts w:ascii="宋体" w:hAnsi="宋体" w:eastAsia="宋体" w:cs="Times New Roman"/>
                <w:sz w:val="24"/>
                <w:highlight w:val="none"/>
              </w:rPr>
            </w:pPr>
            <w:r>
              <w:rPr>
                <w:rFonts w:hint="eastAsia" w:ascii="宋体" w:hAnsi="宋体" w:eastAsia="宋体" w:cs="宋体"/>
                <w:color w:val="000000"/>
                <w:kern w:val="0"/>
                <w:sz w:val="24"/>
                <w:highlight w:val="none"/>
                <w:lang w:bidi="ar"/>
              </w:rPr>
              <w:t>★</w:t>
            </w:r>
          </w:p>
        </w:tc>
        <w:tc>
          <w:tcPr>
            <w:tcW w:w="6345" w:type="dxa"/>
            <w:shd w:val="clear" w:color="auto" w:fill="auto"/>
            <w:vAlign w:val="center"/>
          </w:tcPr>
          <w:p w14:paraId="4E4F57A6">
            <w:pPr>
              <w:rPr>
                <w:rFonts w:ascii="宋体" w:hAnsi="宋体" w:eastAsia="宋体" w:cs="Times New Roman"/>
                <w:sz w:val="24"/>
                <w:highlight w:val="none"/>
              </w:rPr>
            </w:pPr>
            <w:r>
              <w:rPr>
                <w:rFonts w:hint="eastAsia" w:ascii="宋体" w:hAnsi="宋体" w:eastAsia="宋体" w:cs="Times New Roman"/>
                <w:sz w:val="24"/>
                <w:highlight w:val="none"/>
              </w:rPr>
              <w:t>配置整体物理核心数≥128核，支持复杂指令集，支持超线程和超频技术，CPU主频≥2.6GHz</w:t>
            </w:r>
          </w:p>
        </w:tc>
      </w:tr>
      <w:tr w14:paraId="5857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Merge w:val="restart"/>
            <w:shd w:val="clear" w:color="auto" w:fill="auto"/>
            <w:vAlign w:val="center"/>
          </w:tcPr>
          <w:p w14:paraId="0D72E2FC">
            <w:pPr>
              <w:jc w:val="center"/>
              <w:rPr>
                <w:rFonts w:ascii="宋体" w:hAnsi="宋体" w:eastAsia="宋体" w:cs="Times New Roman"/>
                <w:sz w:val="24"/>
                <w:highlight w:val="none"/>
              </w:rPr>
            </w:pPr>
            <w:r>
              <w:rPr>
                <w:rFonts w:hint="eastAsia" w:ascii="宋体" w:hAnsi="宋体" w:eastAsia="宋体" w:cs="Times New Roman"/>
                <w:sz w:val="24"/>
                <w:highlight w:val="none"/>
              </w:rPr>
              <w:t>2</w:t>
            </w:r>
          </w:p>
        </w:tc>
        <w:tc>
          <w:tcPr>
            <w:tcW w:w="1245" w:type="dxa"/>
            <w:vMerge w:val="restart"/>
            <w:shd w:val="clear" w:color="auto" w:fill="auto"/>
            <w:vAlign w:val="center"/>
          </w:tcPr>
          <w:p w14:paraId="217C5F0C">
            <w:pPr>
              <w:jc w:val="center"/>
              <w:rPr>
                <w:rFonts w:ascii="宋体" w:hAnsi="宋体" w:eastAsia="宋体" w:cs="Times New Roman"/>
                <w:sz w:val="24"/>
                <w:highlight w:val="none"/>
              </w:rPr>
            </w:pPr>
            <w:r>
              <w:rPr>
                <w:rFonts w:hint="eastAsia" w:ascii="宋体" w:hAnsi="宋体" w:eastAsia="宋体" w:cs="Times New Roman"/>
                <w:sz w:val="24"/>
                <w:highlight w:val="none"/>
              </w:rPr>
              <w:t>GPU规格</w:t>
            </w:r>
          </w:p>
        </w:tc>
        <w:tc>
          <w:tcPr>
            <w:tcW w:w="1334" w:type="dxa"/>
            <w:shd w:val="clear" w:color="auto" w:fill="auto"/>
            <w:vAlign w:val="center"/>
          </w:tcPr>
          <w:p w14:paraId="5CF82B59">
            <w:pPr>
              <w:jc w:val="center"/>
              <w:rPr>
                <w:rFonts w:ascii="宋体" w:hAnsi="宋体" w:eastAsia="宋体" w:cs="Times New Roman"/>
                <w:sz w:val="24"/>
                <w:highlight w:val="none"/>
              </w:rPr>
            </w:pPr>
            <w:r>
              <w:rPr>
                <w:rFonts w:hint="eastAsia" w:ascii="宋体" w:hAnsi="宋体" w:eastAsia="宋体" w:cs="宋体"/>
                <w:color w:val="000000"/>
                <w:kern w:val="0"/>
                <w:sz w:val="24"/>
                <w:highlight w:val="none"/>
                <w:lang w:bidi="ar"/>
              </w:rPr>
              <w:t>#</w:t>
            </w:r>
          </w:p>
        </w:tc>
        <w:tc>
          <w:tcPr>
            <w:tcW w:w="6345" w:type="dxa"/>
            <w:shd w:val="clear" w:color="auto" w:fill="auto"/>
            <w:vAlign w:val="center"/>
          </w:tcPr>
          <w:p w14:paraId="3FD9439D">
            <w:pPr>
              <w:rPr>
                <w:rFonts w:ascii="宋体" w:hAnsi="宋体" w:eastAsia="宋体" w:cs="Times New Roman"/>
                <w:sz w:val="24"/>
                <w:highlight w:val="none"/>
              </w:rPr>
            </w:pPr>
            <w:r>
              <w:rPr>
                <w:rFonts w:ascii="宋体" w:hAnsi="宋体" w:eastAsia="宋体" w:cs="Times New Roman"/>
                <w:sz w:val="24"/>
                <w:highlight w:val="none"/>
              </w:rPr>
              <w:t>总</w:t>
            </w:r>
            <w:r>
              <w:rPr>
                <w:rFonts w:hint="eastAsia" w:ascii="宋体" w:hAnsi="宋体" w:eastAsia="宋体" w:cs="Times New Roman"/>
                <w:sz w:val="24"/>
                <w:highlight w:val="none"/>
              </w:rPr>
              <w:t>显存≥1</w:t>
            </w:r>
            <w:r>
              <w:rPr>
                <w:rFonts w:ascii="宋体" w:hAnsi="宋体" w:eastAsia="宋体" w:cs="Times New Roman"/>
                <w:sz w:val="24"/>
                <w:highlight w:val="none"/>
              </w:rPr>
              <w:t>536GB</w:t>
            </w:r>
          </w:p>
        </w:tc>
      </w:tr>
      <w:tr w14:paraId="49EC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744" w:type="dxa"/>
            <w:vMerge w:val="continue"/>
            <w:shd w:val="clear" w:color="auto" w:fill="auto"/>
            <w:vAlign w:val="center"/>
          </w:tcPr>
          <w:p w14:paraId="532A7D50">
            <w:pPr>
              <w:jc w:val="center"/>
              <w:rPr>
                <w:rFonts w:ascii="宋体" w:hAnsi="宋体" w:eastAsia="宋体" w:cs="Times New Roman"/>
                <w:sz w:val="24"/>
                <w:highlight w:val="none"/>
              </w:rPr>
            </w:pPr>
          </w:p>
        </w:tc>
        <w:tc>
          <w:tcPr>
            <w:tcW w:w="1245" w:type="dxa"/>
            <w:vMerge w:val="continue"/>
            <w:shd w:val="clear" w:color="auto" w:fill="auto"/>
            <w:vAlign w:val="center"/>
          </w:tcPr>
          <w:p w14:paraId="5F3163C0">
            <w:pPr>
              <w:jc w:val="center"/>
              <w:rPr>
                <w:rFonts w:ascii="宋体" w:hAnsi="宋体" w:eastAsia="宋体" w:cs="Times New Roman"/>
                <w:sz w:val="24"/>
                <w:highlight w:val="none"/>
              </w:rPr>
            </w:pPr>
          </w:p>
        </w:tc>
        <w:tc>
          <w:tcPr>
            <w:tcW w:w="1334" w:type="dxa"/>
            <w:shd w:val="clear" w:color="auto" w:fill="auto"/>
            <w:vAlign w:val="center"/>
          </w:tcPr>
          <w:p w14:paraId="7EAA5819">
            <w:pPr>
              <w:jc w:val="center"/>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w:t>
            </w:r>
          </w:p>
        </w:tc>
        <w:tc>
          <w:tcPr>
            <w:tcW w:w="6345" w:type="dxa"/>
            <w:shd w:val="clear" w:color="auto" w:fill="auto"/>
            <w:vAlign w:val="center"/>
          </w:tcPr>
          <w:p w14:paraId="18077547">
            <w:pPr>
              <w:rPr>
                <w:rFonts w:ascii="宋体" w:hAnsi="宋体" w:eastAsia="宋体" w:cs="Times New Roman"/>
                <w:sz w:val="24"/>
                <w:highlight w:val="none"/>
              </w:rPr>
            </w:pPr>
            <w:r>
              <w:rPr>
                <w:rFonts w:hint="eastAsia" w:ascii="宋体" w:hAnsi="宋体" w:eastAsia="宋体" w:cs="Times New Roman"/>
                <w:sz w:val="24"/>
                <w:highlight w:val="none"/>
              </w:rPr>
              <w:t>整机F</w:t>
            </w:r>
            <w:r>
              <w:rPr>
                <w:rFonts w:ascii="宋体" w:hAnsi="宋体" w:eastAsia="宋体" w:cs="Times New Roman"/>
                <w:sz w:val="24"/>
                <w:highlight w:val="none"/>
              </w:rPr>
              <w:t>P或</w:t>
            </w:r>
            <w:r>
              <w:rPr>
                <w:rFonts w:hint="eastAsia" w:ascii="宋体" w:hAnsi="宋体" w:eastAsia="宋体" w:cs="Times New Roman"/>
                <w:sz w:val="24"/>
                <w:highlight w:val="none"/>
              </w:rPr>
              <w:t>BF16算力≥1.96PFLOPS</w:t>
            </w:r>
          </w:p>
        </w:tc>
      </w:tr>
      <w:tr w14:paraId="2546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798FEF13">
            <w:pPr>
              <w:jc w:val="center"/>
              <w:rPr>
                <w:rFonts w:ascii="宋体" w:hAnsi="宋体" w:eastAsia="宋体" w:cs="Times New Roman"/>
                <w:sz w:val="24"/>
                <w:highlight w:val="none"/>
              </w:rPr>
            </w:pPr>
            <w:r>
              <w:rPr>
                <w:rFonts w:hint="eastAsia" w:ascii="宋体" w:hAnsi="宋体" w:eastAsia="宋体" w:cs="Times New Roman"/>
                <w:sz w:val="24"/>
                <w:highlight w:val="none"/>
              </w:rPr>
              <w:t>3</w:t>
            </w:r>
          </w:p>
        </w:tc>
        <w:tc>
          <w:tcPr>
            <w:tcW w:w="1245" w:type="dxa"/>
            <w:shd w:val="clear" w:color="auto" w:fill="auto"/>
            <w:vAlign w:val="center"/>
          </w:tcPr>
          <w:p w14:paraId="00565F05">
            <w:pPr>
              <w:jc w:val="center"/>
              <w:rPr>
                <w:rFonts w:ascii="宋体" w:hAnsi="宋体" w:eastAsia="宋体" w:cs="Times New Roman"/>
                <w:sz w:val="24"/>
                <w:highlight w:val="none"/>
              </w:rPr>
            </w:pPr>
            <w:r>
              <w:rPr>
                <w:rFonts w:hint="eastAsia" w:ascii="宋体" w:hAnsi="宋体" w:eastAsia="宋体" w:cs="Times New Roman"/>
                <w:sz w:val="24"/>
                <w:highlight w:val="none"/>
              </w:rPr>
              <w:t>卡间互联方式</w:t>
            </w:r>
          </w:p>
        </w:tc>
        <w:tc>
          <w:tcPr>
            <w:tcW w:w="1334" w:type="dxa"/>
            <w:shd w:val="clear" w:color="auto" w:fill="auto"/>
            <w:vAlign w:val="center"/>
          </w:tcPr>
          <w:p w14:paraId="6709AB63">
            <w:pPr>
              <w:jc w:val="center"/>
              <w:rPr>
                <w:rFonts w:ascii="宋体" w:hAnsi="宋体" w:eastAsia="宋体" w:cs="Times New Roman"/>
                <w:sz w:val="24"/>
                <w:highlight w:val="none"/>
              </w:rPr>
            </w:pPr>
            <w:r>
              <w:rPr>
                <w:rFonts w:hint="eastAsia" w:ascii="宋体" w:hAnsi="宋体" w:eastAsia="宋体" w:cs="宋体"/>
                <w:sz w:val="24"/>
                <w:highlight w:val="none"/>
              </w:rPr>
              <w:t>#</w:t>
            </w:r>
          </w:p>
        </w:tc>
        <w:tc>
          <w:tcPr>
            <w:tcW w:w="6345" w:type="dxa"/>
            <w:shd w:val="clear" w:color="auto" w:fill="auto"/>
            <w:vAlign w:val="center"/>
          </w:tcPr>
          <w:p w14:paraId="633F048B">
            <w:pPr>
              <w:rPr>
                <w:rFonts w:ascii="宋体" w:hAnsi="宋体" w:eastAsia="宋体" w:cs="Times New Roman"/>
                <w:sz w:val="24"/>
                <w:highlight w:val="none"/>
              </w:rPr>
            </w:pPr>
            <w:r>
              <w:rPr>
                <w:rFonts w:hint="eastAsia" w:ascii="宋体" w:hAnsi="宋体" w:eastAsia="宋体" w:cs="Times New Roman"/>
                <w:sz w:val="24"/>
                <w:highlight w:val="none"/>
              </w:rPr>
              <w:t>整机内卡间互联带宽≥650GB/s，</w:t>
            </w:r>
            <w:r>
              <w:rPr>
                <w:rFonts w:ascii="宋体" w:hAnsi="宋体" w:eastAsia="宋体" w:cs="Times New Roman"/>
                <w:sz w:val="24"/>
                <w:highlight w:val="none"/>
              </w:rPr>
              <w:t>需提供国家认可的认证（检测）机构出具的检测报告</w:t>
            </w:r>
          </w:p>
        </w:tc>
      </w:tr>
      <w:tr w14:paraId="2029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4ED9CE8E">
            <w:pPr>
              <w:jc w:val="center"/>
              <w:rPr>
                <w:rFonts w:ascii="宋体" w:hAnsi="宋体" w:eastAsia="宋体" w:cs="Times New Roman"/>
                <w:sz w:val="24"/>
                <w:highlight w:val="none"/>
              </w:rPr>
            </w:pPr>
            <w:r>
              <w:rPr>
                <w:rFonts w:hint="eastAsia" w:ascii="宋体" w:hAnsi="宋体" w:eastAsia="宋体" w:cs="Times New Roman"/>
                <w:sz w:val="24"/>
                <w:highlight w:val="none"/>
              </w:rPr>
              <w:t>4</w:t>
            </w:r>
          </w:p>
        </w:tc>
        <w:tc>
          <w:tcPr>
            <w:tcW w:w="1245" w:type="dxa"/>
            <w:shd w:val="clear" w:color="auto" w:fill="auto"/>
            <w:vAlign w:val="center"/>
          </w:tcPr>
          <w:p w14:paraId="5484A34C">
            <w:pPr>
              <w:jc w:val="center"/>
              <w:rPr>
                <w:rFonts w:ascii="宋体" w:hAnsi="宋体" w:eastAsia="宋体" w:cs="Times New Roman"/>
                <w:sz w:val="24"/>
                <w:highlight w:val="none"/>
              </w:rPr>
            </w:pPr>
            <w:r>
              <w:rPr>
                <w:rFonts w:hint="eastAsia" w:ascii="宋体" w:hAnsi="宋体" w:eastAsia="宋体" w:cs="Times New Roman"/>
                <w:sz w:val="24"/>
                <w:highlight w:val="none"/>
              </w:rPr>
              <w:t>GPU卡监控能力</w:t>
            </w:r>
          </w:p>
        </w:tc>
        <w:tc>
          <w:tcPr>
            <w:tcW w:w="1334" w:type="dxa"/>
            <w:shd w:val="clear" w:color="auto" w:fill="auto"/>
            <w:vAlign w:val="center"/>
          </w:tcPr>
          <w:p w14:paraId="49B23652">
            <w:pPr>
              <w:jc w:val="center"/>
              <w:rPr>
                <w:rFonts w:ascii="宋体" w:hAnsi="宋体" w:eastAsia="宋体" w:cs="Times New Roman"/>
                <w:sz w:val="24"/>
                <w:highlight w:val="none"/>
              </w:rPr>
            </w:pPr>
            <w:r>
              <w:rPr>
                <w:rFonts w:hint="eastAsia" w:ascii="宋体" w:hAnsi="宋体" w:eastAsia="宋体" w:cs="Times New Roman"/>
                <w:sz w:val="24"/>
                <w:highlight w:val="none"/>
              </w:rPr>
              <w:t>#</w:t>
            </w:r>
          </w:p>
        </w:tc>
        <w:tc>
          <w:tcPr>
            <w:tcW w:w="6345" w:type="dxa"/>
            <w:shd w:val="clear" w:color="auto" w:fill="auto"/>
            <w:vAlign w:val="center"/>
          </w:tcPr>
          <w:p w14:paraId="100B5E75">
            <w:pPr>
              <w:rPr>
                <w:rFonts w:ascii="宋体" w:hAnsi="宋体" w:eastAsia="宋体" w:cs="Times New Roman"/>
                <w:sz w:val="24"/>
                <w:highlight w:val="none"/>
              </w:rPr>
            </w:pPr>
            <w:r>
              <w:rPr>
                <w:rFonts w:hint="eastAsia" w:ascii="宋体" w:hAnsi="宋体" w:eastAsia="宋体" w:cs="Times New Roman"/>
                <w:sz w:val="24"/>
                <w:highlight w:val="none"/>
              </w:rPr>
              <w:t>支持对GPU卡的使用状态进行监控</w:t>
            </w:r>
          </w:p>
        </w:tc>
      </w:tr>
      <w:tr w14:paraId="2093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5728562D">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5</w:t>
            </w:r>
          </w:p>
        </w:tc>
        <w:tc>
          <w:tcPr>
            <w:tcW w:w="1245" w:type="dxa"/>
            <w:shd w:val="clear" w:color="auto" w:fill="auto"/>
            <w:vAlign w:val="center"/>
          </w:tcPr>
          <w:p w14:paraId="70E20AA1">
            <w:pPr>
              <w:jc w:val="center"/>
              <w:rPr>
                <w:rFonts w:ascii="宋体" w:hAnsi="宋体" w:eastAsia="宋体" w:cs="Times New Roman"/>
                <w:sz w:val="24"/>
                <w:highlight w:val="none"/>
              </w:rPr>
            </w:pPr>
            <w:r>
              <w:rPr>
                <w:rFonts w:hint="eastAsia" w:ascii="宋体" w:hAnsi="宋体" w:eastAsia="宋体" w:cs="Times New Roman"/>
                <w:sz w:val="24"/>
                <w:highlight w:val="none"/>
              </w:rPr>
              <w:t>内存</w:t>
            </w:r>
          </w:p>
        </w:tc>
        <w:tc>
          <w:tcPr>
            <w:tcW w:w="1334" w:type="dxa"/>
            <w:shd w:val="clear" w:color="auto" w:fill="auto"/>
            <w:vAlign w:val="center"/>
          </w:tcPr>
          <w:p w14:paraId="4F880A50">
            <w:pPr>
              <w:jc w:val="center"/>
              <w:rPr>
                <w:rFonts w:ascii="宋体" w:hAnsi="宋体" w:eastAsia="宋体" w:cs="Times New Roman"/>
                <w:sz w:val="24"/>
                <w:highlight w:val="none"/>
              </w:rPr>
            </w:pPr>
          </w:p>
        </w:tc>
        <w:tc>
          <w:tcPr>
            <w:tcW w:w="6345" w:type="dxa"/>
            <w:shd w:val="clear" w:color="auto" w:fill="auto"/>
            <w:vAlign w:val="center"/>
          </w:tcPr>
          <w:p w14:paraId="66691CA8">
            <w:pPr>
              <w:rPr>
                <w:rFonts w:ascii="宋体" w:hAnsi="宋体" w:eastAsia="宋体" w:cs="Times New Roman"/>
                <w:sz w:val="24"/>
                <w:highlight w:val="none"/>
              </w:rPr>
            </w:pPr>
            <w:r>
              <w:rPr>
                <w:rFonts w:hint="eastAsia" w:ascii="宋体" w:hAnsi="宋体" w:eastAsia="宋体" w:cs="Times New Roman"/>
                <w:sz w:val="24"/>
                <w:highlight w:val="none"/>
              </w:rPr>
              <w:t xml:space="preserve">内存容量≥1536GB，内存类型ECC DDR5 RDIMM，内存速率≥4800MT/s </w:t>
            </w:r>
          </w:p>
        </w:tc>
      </w:tr>
      <w:tr w14:paraId="4FE6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5250C4C4">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6</w:t>
            </w:r>
          </w:p>
        </w:tc>
        <w:tc>
          <w:tcPr>
            <w:tcW w:w="1245" w:type="dxa"/>
            <w:shd w:val="clear" w:color="auto" w:fill="auto"/>
            <w:vAlign w:val="center"/>
          </w:tcPr>
          <w:p w14:paraId="625A5378">
            <w:pPr>
              <w:jc w:val="center"/>
              <w:rPr>
                <w:rFonts w:ascii="宋体" w:hAnsi="宋体" w:eastAsia="宋体" w:cs="Times New Roman"/>
                <w:sz w:val="24"/>
                <w:highlight w:val="none"/>
              </w:rPr>
            </w:pPr>
            <w:r>
              <w:rPr>
                <w:rFonts w:hint="eastAsia" w:ascii="宋体" w:hAnsi="宋体" w:eastAsia="宋体" w:cs="Times New Roman"/>
                <w:sz w:val="24"/>
                <w:highlight w:val="none"/>
              </w:rPr>
              <w:t>硬盘</w:t>
            </w:r>
          </w:p>
        </w:tc>
        <w:tc>
          <w:tcPr>
            <w:tcW w:w="1334" w:type="dxa"/>
            <w:shd w:val="clear" w:color="auto" w:fill="auto"/>
            <w:vAlign w:val="center"/>
          </w:tcPr>
          <w:p w14:paraId="05A380C7">
            <w:pPr>
              <w:jc w:val="center"/>
              <w:rPr>
                <w:rFonts w:ascii="宋体" w:hAnsi="宋体" w:eastAsia="宋体" w:cs="Times New Roman"/>
                <w:sz w:val="24"/>
                <w:highlight w:val="none"/>
              </w:rPr>
            </w:pPr>
          </w:p>
        </w:tc>
        <w:tc>
          <w:tcPr>
            <w:tcW w:w="6345" w:type="dxa"/>
            <w:shd w:val="clear" w:color="auto" w:fill="auto"/>
            <w:vAlign w:val="center"/>
          </w:tcPr>
          <w:p w14:paraId="2735EB93">
            <w:pPr>
              <w:rPr>
                <w:rFonts w:ascii="宋体" w:hAnsi="宋体" w:eastAsia="宋体" w:cs="Times New Roman"/>
                <w:sz w:val="24"/>
                <w:highlight w:val="none"/>
              </w:rPr>
            </w:pPr>
            <w:r>
              <w:rPr>
                <w:rFonts w:hint="eastAsia" w:ascii="宋体" w:hAnsi="宋体" w:eastAsia="宋体" w:cs="Times New Roman"/>
                <w:sz w:val="24"/>
                <w:highlight w:val="none"/>
              </w:rPr>
              <w:t xml:space="preserve">配置不低于240GB SATA SSD硬盘，数量≥1块；配置不低于3840GB NVME SSD硬盘，数量≥4块 </w:t>
            </w:r>
          </w:p>
        </w:tc>
      </w:tr>
      <w:tr w14:paraId="65D9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4" w:type="dxa"/>
            <w:shd w:val="clear" w:color="auto" w:fill="auto"/>
            <w:vAlign w:val="center"/>
          </w:tcPr>
          <w:p w14:paraId="2FBF0191">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7</w:t>
            </w:r>
          </w:p>
        </w:tc>
        <w:tc>
          <w:tcPr>
            <w:tcW w:w="1245" w:type="dxa"/>
            <w:shd w:val="clear" w:color="auto" w:fill="auto"/>
            <w:vAlign w:val="center"/>
          </w:tcPr>
          <w:p w14:paraId="17911C1D">
            <w:pPr>
              <w:jc w:val="center"/>
              <w:rPr>
                <w:rFonts w:ascii="宋体" w:hAnsi="宋体" w:eastAsia="宋体" w:cs="Times New Roman"/>
                <w:sz w:val="24"/>
                <w:highlight w:val="none"/>
              </w:rPr>
            </w:pPr>
            <w:r>
              <w:rPr>
                <w:rFonts w:hint="eastAsia" w:ascii="宋体" w:hAnsi="宋体" w:eastAsia="宋体" w:cs="Times New Roman"/>
                <w:sz w:val="24"/>
                <w:highlight w:val="none"/>
              </w:rPr>
              <w:t>网卡</w:t>
            </w:r>
          </w:p>
        </w:tc>
        <w:tc>
          <w:tcPr>
            <w:tcW w:w="1334" w:type="dxa"/>
            <w:shd w:val="clear" w:color="auto" w:fill="auto"/>
            <w:vAlign w:val="center"/>
          </w:tcPr>
          <w:p w14:paraId="0F445F27">
            <w:pPr>
              <w:jc w:val="center"/>
              <w:rPr>
                <w:rFonts w:ascii="宋体" w:hAnsi="宋体" w:eastAsia="宋体" w:cs="Times New Roman"/>
                <w:sz w:val="24"/>
                <w:highlight w:val="none"/>
              </w:rPr>
            </w:pPr>
          </w:p>
        </w:tc>
        <w:tc>
          <w:tcPr>
            <w:tcW w:w="6345" w:type="dxa"/>
            <w:shd w:val="clear" w:color="auto" w:fill="auto"/>
            <w:vAlign w:val="center"/>
          </w:tcPr>
          <w:p w14:paraId="58840900">
            <w:pPr>
              <w:rPr>
                <w:rFonts w:ascii="宋体" w:hAnsi="宋体" w:eastAsia="宋体" w:cs="Times New Roman"/>
                <w:sz w:val="24"/>
                <w:highlight w:val="none"/>
              </w:rPr>
            </w:pPr>
            <w:r>
              <w:rPr>
                <w:rFonts w:hint="eastAsia" w:ascii="宋体" w:hAnsi="宋体" w:eastAsia="宋体" w:cs="Times New Roman"/>
                <w:sz w:val="24"/>
                <w:highlight w:val="none"/>
              </w:rPr>
              <w:t xml:space="preserve">配置≥1个双端口25GE网口，≥4个双端口200GE网口，满配光模块 </w:t>
            </w:r>
          </w:p>
        </w:tc>
      </w:tr>
      <w:tr w14:paraId="6E6A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0B495BF0">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8</w:t>
            </w:r>
          </w:p>
        </w:tc>
        <w:tc>
          <w:tcPr>
            <w:tcW w:w="1245" w:type="dxa"/>
            <w:shd w:val="clear" w:color="auto" w:fill="auto"/>
            <w:vAlign w:val="center"/>
          </w:tcPr>
          <w:p w14:paraId="4323406B">
            <w:pPr>
              <w:jc w:val="center"/>
              <w:rPr>
                <w:rFonts w:ascii="宋体" w:hAnsi="宋体" w:eastAsia="宋体" w:cs="Times New Roman"/>
                <w:sz w:val="24"/>
                <w:highlight w:val="none"/>
              </w:rPr>
            </w:pPr>
            <w:r>
              <w:rPr>
                <w:rFonts w:hint="eastAsia" w:ascii="宋体" w:hAnsi="宋体" w:eastAsia="宋体" w:cs="Times New Roman"/>
                <w:sz w:val="24"/>
                <w:highlight w:val="none"/>
              </w:rPr>
              <w:t>电源</w:t>
            </w:r>
          </w:p>
        </w:tc>
        <w:tc>
          <w:tcPr>
            <w:tcW w:w="1334" w:type="dxa"/>
            <w:shd w:val="clear" w:color="auto" w:fill="auto"/>
            <w:vAlign w:val="center"/>
          </w:tcPr>
          <w:p w14:paraId="1610B41B">
            <w:pPr>
              <w:jc w:val="center"/>
              <w:rPr>
                <w:rFonts w:ascii="宋体" w:hAnsi="宋体" w:eastAsia="宋体" w:cs="Times New Roman"/>
                <w:sz w:val="24"/>
                <w:highlight w:val="none"/>
              </w:rPr>
            </w:pPr>
          </w:p>
        </w:tc>
        <w:tc>
          <w:tcPr>
            <w:tcW w:w="6345" w:type="dxa"/>
            <w:shd w:val="clear" w:color="auto" w:fill="auto"/>
            <w:vAlign w:val="center"/>
          </w:tcPr>
          <w:p w14:paraId="7A109D52">
            <w:pPr>
              <w:rPr>
                <w:rFonts w:ascii="宋体" w:hAnsi="宋体" w:eastAsia="宋体" w:cs="Times New Roman"/>
                <w:sz w:val="24"/>
                <w:highlight w:val="none"/>
              </w:rPr>
            </w:pPr>
            <w:r>
              <w:rPr>
                <w:rFonts w:hint="eastAsia" w:ascii="宋体" w:hAnsi="宋体" w:eastAsia="宋体" w:cs="Times New Roman"/>
                <w:sz w:val="24"/>
                <w:highlight w:val="none"/>
              </w:rPr>
              <w:t>电源数量≥2个，支持热插拔，支持电源冗余，支持主动式PFC</w:t>
            </w:r>
          </w:p>
        </w:tc>
      </w:tr>
      <w:tr w14:paraId="128A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4" w:type="dxa"/>
            <w:shd w:val="clear" w:color="auto" w:fill="auto"/>
            <w:vAlign w:val="center"/>
          </w:tcPr>
          <w:p w14:paraId="2758F0C4">
            <w:pPr>
              <w:ind w:left="425" w:hanging="425"/>
              <w:jc w:val="center"/>
              <w:rPr>
                <w:rFonts w:ascii="宋体" w:hAnsi="宋体" w:eastAsia="宋体" w:cs="Times New Roman"/>
                <w:sz w:val="24"/>
                <w:highlight w:val="none"/>
              </w:rPr>
            </w:pPr>
            <w:r>
              <w:rPr>
                <w:rFonts w:hint="eastAsia" w:ascii="宋体" w:hAnsi="宋体" w:eastAsia="宋体" w:cs="Times New Roman"/>
                <w:sz w:val="24"/>
                <w:highlight w:val="none"/>
              </w:rPr>
              <w:t>9</w:t>
            </w:r>
          </w:p>
        </w:tc>
        <w:tc>
          <w:tcPr>
            <w:tcW w:w="1245" w:type="dxa"/>
            <w:shd w:val="clear" w:color="auto" w:fill="auto"/>
            <w:vAlign w:val="center"/>
          </w:tcPr>
          <w:p w14:paraId="7B932DD4">
            <w:pPr>
              <w:jc w:val="center"/>
              <w:rPr>
                <w:rFonts w:ascii="宋体" w:hAnsi="宋体" w:eastAsia="宋体" w:cs="Times New Roman"/>
                <w:sz w:val="24"/>
                <w:highlight w:val="none"/>
              </w:rPr>
            </w:pPr>
            <w:r>
              <w:rPr>
                <w:rFonts w:hint="eastAsia" w:ascii="宋体" w:hAnsi="宋体" w:eastAsia="宋体" w:cs="Times New Roman"/>
                <w:sz w:val="24"/>
                <w:highlight w:val="none"/>
              </w:rPr>
              <w:t>CUDA兼容性</w:t>
            </w:r>
          </w:p>
        </w:tc>
        <w:tc>
          <w:tcPr>
            <w:tcW w:w="1334" w:type="dxa"/>
            <w:shd w:val="clear" w:color="auto" w:fill="auto"/>
            <w:vAlign w:val="center"/>
          </w:tcPr>
          <w:p w14:paraId="09E4F532">
            <w:pPr>
              <w:jc w:val="center"/>
              <w:rPr>
                <w:rFonts w:ascii="宋体" w:hAnsi="宋体" w:eastAsia="宋体" w:cs="Times New Roman"/>
                <w:sz w:val="24"/>
                <w:highlight w:val="none"/>
              </w:rPr>
            </w:pPr>
            <w:r>
              <w:rPr>
                <w:rFonts w:hint="eastAsia" w:ascii="宋体" w:hAnsi="宋体" w:eastAsia="宋体" w:cs="Times New Roman"/>
                <w:sz w:val="24"/>
                <w:highlight w:val="none"/>
              </w:rPr>
              <w:t>#</w:t>
            </w:r>
          </w:p>
        </w:tc>
        <w:tc>
          <w:tcPr>
            <w:tcW w:w="6345" w:type="dxa"/>
            <w:shd w:val="clear" w:color="auto" w:fill="auto"/>
            <w:vAlign w:val="center"/>
          </w:tcPr>
          <w:p w14:paraId="29E6B1BD">
            <w:pPr>
              <w:rPr>
                <w:rFonts w:ascii="宋体" w:hAnsi="宋体" w:eastAsia="宋体" w:cs="Times New Roman"/>
                <w:sz w:val="24"/>
                <w:highlight w:val="none"/>
              </w:rPr>
            </w:pPr>
            <w:r>
              <w:rPr>
                <w:rFonts w:hint="eastAsia" w:ascii="宋体" w:hAnsi="宋体" w:eastAsia="宋体" w:cs="Times New Roman"/>
                <w:sz w:val="24"/>
                <w:highlight w:val="none"/>
              </w:rPr>
              <w:t>支持CUDA生态通用AI相关主流算子的API兼容能力，可通过CUDASamples编译验证测试</w:t>
            </w:r>
            <w:r>
              <w:rPr>
                <w:rFonts w:ascii="宋体" w:hAnsi="宋体" w:eastAsia="宋体" w:cs="Times New Roman"/>
                <w:sz w:val="24"/>
                <w:highlight w:val="none"/>
              </w:rPr>
              <w:t>，需提供国家认可的认证（检测）机构出具的检测报告。</w:t>
            </w:r>
          </w:p>
          <w:p w14:paraId="245EC82B">
            <w:pPr>
              <w:rPr>
                <w:rFonts w:ascii="宋体" w:hAnsi="宋体" w:eastAsia="宋体" w:cs="Times New Roman"/>
                <w:sz w:val="24"/>
                <w:highlight w:val="none"/>
              </w:rPr>
            </w:pPr>
          </w:p>
        </w:tc>
      </w:tr>
      <w:tr w14:paraId="0B95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033A6352">
            <w:pPr>
              <w:jc w:val="center"/>
              <w:rPr>
                <w:rFonts w:ascii="宋体" w:hAnsi="宋体" w:eastAsia="宋体" w:cs="Times New Roman"/>
                <w:sz w:val="24"/>
                <w:highlight w:val="none"/>
              </w:rPr>
            </w:pPr>
            <w:r>
              <w:rPr>
                <w:rFonts w:hint="eastAsia" w:ascii="宋体" w:hAnsi="宋体" w:eastAsia="宋体" w:cs="Times New Roman"/>
                <w:sz w:val="24"/>
                <w:highlight w:val="none"/>
              </w:rPr>
              <w:t>10</w:t>
            </w:r>
          </w:p>
        </w:tc>
        <w:tc>
          <w:tcPr>
            <w:tcW w:w="1245" w:type="dxa"/>
            <w:shd w:val="clear" w:color="auto" w:fill="auto"/>
            <w:vAlign w:val="center"/>
          </w:tcPr>
          <w:p w14:paraId="0E4092D3">
            <w:pPr>
              <w:jc w:val="center"/>
              <w:rPr>
                <w:rFonts w:ascii="宋体" w:hAnsi="宋体" w:eastAsia="宋体" w:cs="Times New Roman"/>
                <w:sz w:val="24"/>
                <w:highlight w:val="none"/>
              </w:rPr>
            </w:pPr>
            <w:r>
              <w:rPr>
                <w:rFonts w:hint="eastAsia" w:ascii="宋体" w:hAnsi="宋体" w:eastAsia="宋体" w:cs="Times New Roman"/>
                <w:sz w:val="24"/>
                <w:highlight w:val="none"/>
              </w:rPr>
              <w:t xml:space="preserve">模型承载能力（单机无精度损失DeepSeek推理） </w:t>
            </w:r>
          </w:p>
        </w:tc>
        <w:tc>
          <w:tcPr>
            <w:tcW w:w="1334" w:type="dxa"/>
            <w:shd w:val="clear" w:color="auto" w:fill="auto"/>
            <w:vAlign w:val="center"/>
          </w:tcPr>
          <w:p w14:paraId="130FF572">
            <w:pPr>
              <w:jc w:val="center"/>
              <w:rPr>
                <w:rFonts w:ascii="宋体" w:hAnsi="宋体" w:eastAsia="宋体" w:cs="Times New Roman"/>
                <w:sz w:val="24"/>
                <w:highlight w:val="none"/>
              </w:rPr>
            </w:pPr>
            <w:r>
              <w:rPr>
                <w:rFonts w:hint="eastAsia" w:ascii="宋体" w:hAnsi="宋体" w:eastAsia="宋体" w:cs="Times New Roman"/>
                <w:sz w:val="24"/>
                <w:highlight w:val="none"/>
              </w:rPr>
              <w:t>#</w:t>
            </w:r>
          </w:p>
        </w:tc>
        <w:tc>
          <w:tcPr>
            <w:tcW w:w="6345" w:type="dxa"/>
            <w:shd w:val="clear" w:color="auto" w:fill="auto"/>
            <w:vAlign w:val="center"/>
          </w:tcPr>
          <w:p w14:paraId="7015DB32">
            <w:pPr>
              <w:rPr>
                <w:rFonts w:ascii="宋体" w:hAnsi="宋体" w:eastAsia="宋体" w:cs="Times New Roman"/>
                <w:sz w:val="24"/>
                <w:highlight w:val="none"/>
              </w:rPr>
            </w:pPr>
            <w:r>
              <w:rPr>
                <w:rFonts w:hint="eastAsia" w:ascii="宋体" w:hAnsi="宋体" w:eastAsia="宋体" w:cs="Times New Roman"/>
                <w:sz w:val="24"/>
                <w:highlight w:val="none"/>
              </w:rPr>
              <w:t>单台GPU服务器可在BF16精度下运行 DeepSeek-V3 671B或DeepSeek-R1 671B 模型推理服务，支持通过API和在线推理服务等方式对外提供调用。</w:t>
            </w:r>
            <w:r>
              <w:rPr>
                <w:rFonts w:ascii="宋体" w:hAnsi="宋体" w:eastAsia="宋体" w:cs="Times New Roman"/>
                <w:sz w:val="24"/>
                <w:highlight w:val="none"/>
              </w:rPr>
              <w:t>需提供国家认可的认证（检测）机构出具的检测报告</w:t>
            </w:r>
          </w:p>
        </w:tc>
      </w:tr>
      <w:tr w14:paraId="4AD5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0948B140">
            <w:pPr>
              <w:jc w:val="center"/>
              <w:rPr>
                <w:rFonts w:ascii="宋体" w:hAnsi="宋体" w:eastAsia="宋体" w:cs="Times New Roman"/>
                <w:sz w:val="24"/>
                <w:highlight w:val="none"/>
              </w:rPr>
            </w:pPr>
            <w:r>
              <w:rPr>
                <w:rFonts w:hint="eastAsia" w:ascii="宋体" w:hAnsi="宋体" w:eastAsia="宋体" w:cs="Times New Roman"/>
                <w:sz w:val="24"/>
                <w:highlight w:val="none"/>
              </w:rPr>
              <w:t>11</w:t>
            </w:r>
          </w:p>
        </w:tc>
        <w:tc>
          <w:tcPr>
            <w:tcW w:w="1245" w:type="dxa"/>
            <w:vMerge w:val="restart"/>
            <w:shd w:val="clear" w:color="auto" w:fill="auto"/>
            <w:vAlign w:val="center"/>
          </w:tcPr>
          <w:p w14:paraId="2FC4ABC7">
            <w:pPr>
              <w:jc w:val="center"/>
              <w:rPr>
                <w:rFonts w:ascii="宋体" w:hAnsi="宋体" w:eastAsia="宋体" w:cs="Times New Roman"/>
                <w:sz w:val="24"/>
                <w:highlight w:val="none"/>
              </w:rPr>
            </w:pPr>
            <w:r>
              <w:rPr>
                <w:rFonts w:hint="eastAsia" w:ascii="宋体" w:hAnsi="宋体" w:eastAsia="宋体" w:cs="Times New Roman"/>
                <w:sz w:val="24"/>
                <w:highlight w:val="none"/>
              </w:rPr>
              <w:t>DeepSeek推理性能</w:t>
            </w:r>
          </w:p>
        </w:tc>
        <w:tc>
          <w:tcPr>
            <w:tcW w:w="1334" w:type="dxa"/>
            <w:shd w:val="clear" w:color="auto" w:fill="auto"/>
            <w:vAlign w:val="center"/>
          </w:tcPr>
          <w:p w14:paraId="0CEAA786">
            <w:pPr>
              <w:jc w:val="center"/>
              <w:rPr>
                <w:rFonts w:ascii="宋体" w:hAnsi="宋体" w:eastAsia="宋体" w:cs="Times New Roman"/>
                <w:sz w:val="24"/>
                <w:highlight w:val="none"/>
              </w:rPr>
            </w:pPr>
            <w:r>
              <w:rPr>
                <w:rFonts w:hint="eastAsia" w:ascii="宋体" w:hAnsi="宋体" w:eastAsia="宋体" w:cs="Times New Roman"/>
                <w:sz w:val="24"/>
                <w:highlight w:val="none"/>
              </w:rPr>
              <w:t>#</w:t>
            </w:r>
          </w:p>
        </w:tc>
        <w:tc>
          <w:tcPr>
            <w:tcW w:w="6345" w:type="dxa"/>
            <w:shd w:val="clear" w:color="auto" w:fill="auto"/>
            <w:vAlign w:val="center"/>
          </w:tcPr>
          <w:p w14:paraId="6DFA00BD">
            <w:pPr>
              <w:rPr>
                <w:rFonts w:ascii="宋体" w:hAnsi="宋体" w:eastAsia="宋体" w:cs="Times New Roman"/>
                <w:sz w:val="24"/>
                <w:highlight w:val="none"/>
              </w:rPr>
            </w:pPr>
            <w:r>
              <w:rPr>
                <w:rFonts w:hint="eastAsia" w:ascii="宋体" w:hAnsi="宋体" w:eastAsia="宋体" w:cs="Times New Roman"/>
                <w:sz w:val="24"/>
                <w:highlight w:val="none"/>
              </w:rPr>
              <w:t>满配GPU/NPU推理卡运行DeepSeek 671B INT8模型并关闭推理服务端缓存机制，在256/256token输入输出的推理场景统计预填充阶段和解码阶段均未出现排队的有效数据： 输出下个token平均时延（TPOT）≤60ms时，大模型可承载≥85并发，单机生成吞吐≥1400 Tokens/秒</w:t>
            </w:r>
            <w:r>
              <w:rPr>
                <w:rFonts w:ascii="宋体" w:hAnsi="宋体" w:eastAsia="宋体" w:cs="Times New Roman"/>
                <w:sz w:val="24"/>
                <w:highlight w:val="none"/>
              </w:rPr>
              <w:t>，需提供国家认可的认证（检测）机构出具的检测报告</w:t>
            </w:r>
          </w:p>
        </w:tc>
      </w:tr>
      <w:tr w14:paraId="6E3C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20DEFC10">
            <w:pPr>
              <w:jc w:val="center"/>
              <w:rPr>
                <w:rFonts w:ascii="宋体" w:hAnsi="宋体" w:eastAsia="宋体" w:cs="Times New Roman"/>
                <w:sz w:val="24"/>
                <w:highlight w:val="none"/>
              </w:rPr>
            </w:pPr>
            <w:r>
              <w:rPr>
                <w:rFonts w:hint="eastAsia" w:ascii="宋体" w:hAnsi="宋体" w:eastAsia="宋体" w:cs="Times New Roman"/>
                <w:sz w:val="24"/>
                <w:highlight w:val="none"/>
              </w:rPr>
              <w:t>12</w:t>
            </w:r>
          </w:p>
        </w:tc>
        <w:tc>
          <w:tcPr>
            <w:tcW w:w="1245" w:type="dxa"/>
            <w:vMerge w:val="continue"/>
            <w:shd w:val="clear" w:color="auto" w:fill="auto"/>
            <w:vAlign w:val="center"/>
          </w:tcPr>
          <w:p w14:paraId="7F07ED3D">
            <w:pPr>
              <w:jc w:val="center"/>
              <w:rPr>
                <w:rFonts w:ascii="宋体" w:hAnsi="宋体" w:eastAsia="宋体" w:cs="Times New Roman"/>
                <w:sz w:val="24"/>
                <w:highlight w:val="none"/>
              </w:rPr>
            </w:pPr>
          </w:p>
        </w:tc>
        <w:tc>
          <w:tcPr>
            <w:tcW w:w="1334" w:type="dxa"/>
            <w:shd w:val="clear" w:color="auto" w:fill="auto"/>
            <w:vAlign w:val="center"/>
          </w:tcPr>
          <w:p w14:paraId="7B0447E4">
            <w:pPr>
              <w:jc w:val="center"/>
              <w:rPr>
                <w:rFonts w:ascii="宋体" w:hAnsi="宋体" w:eastAsia="宋体" w:cs="Times New Roman"/>
                <w:sz w:val="24"/>
                <w:highlight w:val="none"/>
              </w:rPr>
            </w:pPr>
            <w:r>
              <w:rPr>
                <w:rFonts w:hint="eastAsia" w:ascii="宋体" w:hAnsi="宋体" w:eastAsia="宋体" w:cs="Times New Roman"/>
                <w:sz w:val="24"/>
                <w:highlight w:val="none"/>
              </w:rPr>
              <w:t>#</w:t>
            </w:r>
          </w:p>
        </w:tc>
        <w:tc>
          <w:tcPr>
            <w:tcW w:w="6345" w:type="dxa"/>
            <w:shd w:val="clear" w:color="auto" w:fill="auto"/>
            <w:vAlign w:val="center"/>
          </w:tcPr>
          <w:p w14:paraId="7F781310">
            <w:pPr>
              <w:rPr>
                <w:rFonts w:ascii="宋体" w:hAnsi="宋体" w:eastAsia="宋体" w:cs="Times New Roman"/>
                <w:sz w:val="24"/>
                <w:highlight w:val="none"/>
              </w:rPr>
            </w:pPr>
            <w:r>
              <w:rPr>
                <w:rFonts w:hint="eastAsia" w:ascii="宋体" w:hAnsi="宋体" w:eastAsia="宋体" w:cs="Times New Roman"/>
                <w:sz w:val="24"/>
                <w:highlight w:val="none"/>
              </w:rPr>
              <w:t>满配GPU/NPU推理卡运行DeepSeek 671B INT8模型并关闭推理服务端缓存机制，在1</w:t>
            </w:r>
            <w:r>
              <w:rPr>
                <w:rFonts w:ascii="宋体" w:hAnsi="宋体" w:eastAsia="宋体" w:cs="Times New Roman"/>
                <w:sz w:val="24"/>
                <w:highlight w:val="none"/>
              </w:rPr>
              <w:t>024</w:t>
            </w:r>
            <w:r>
              <w:rPr>
                <w:rFonts w:hint="eastAsia" w:ascii="宋体" w:hAnsi="宋体" w:eastAsia="宋体" w:cs="Times New Roman"/>
                <w:sz w:val="24"/>
                <w:highlight w:val="none"/>
              </w:rPr>
              <w:t>/1</w:t>
            </w:r>
            <w:r>
              <w:rPr>
                <w:rFonts w:ascii="宋体" w:hAnsi="宋体" w:eastAsia="宋体" w:cs="Times New Roman"/>
                <w:sz w:val="24"/>
                <w:highlight w:val="none"/>
              </w:rPr>
              <w:t>024token</w:t>
            </w:r>
            <w:r>
              <w:rPr>
                <w:rFonts w:hint="eastAsia" w:ascii="宋体" w:hAnsi="宋体" w:eastAsia="宋体" w:cs="Times New Roman"/>
                <w:sz w:val="24"/>
                <w:highlight w:val="none"/>
              </w:rPr>
              <w:t>输入输出的推理场景统计预填充阶段和解码阶段均未出现排队的有效数据：输出下个token平均时延（TPOT）≤60ms时，大模型可承载≥60并发，单机生成吞吐≥1000 Tokens/秒，</w:t>
            </w:r>
            <w:r>
              <w:rPr>
                <w:rFonts w:ascii="宋体" w:hAnsi="宋体" w:eastAsia="宋体" w:cs="Times New Roman"/>
                <w:sz w:val="24"/>
                <w:highlight w:val="none"/>
              </w:rPr>
              <w:t>需提供国家认可的认证（检测）机构出具的检测报告</w:t>
            </w:r>
          </w:p>
        </w:tc>
      </w:tr>
      <w:tr w14:paraId="6B7B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3EBF18A2">
            <w:pPr>
              <w:jc w:val="center"/>
              <w:rPr>
                <w:rFonts w:ascii="宋体" w:hAnsi="宋体" w:eastAsia="宋体" w:cs="Times New Roman"/>
                <w:sz w:val="24"/>
                <w:highlight w:val="none"/>
              </w:rPr>
            </w:pPr>
            <w:r>
              <w:rPr>
                <w:rFonts w:hint="eastAsia" w:ascii="宋体" w:hAnsi="宋体" w:eastAsia="宋体" w:cs="Times New Roman"/>
                <w:sz w:val="24"/>
                <w:highlight w:val="none"/>
              </w:rPr>
              <w:t>13</w:t>
            </w:r>
          </w:p>
        </w:tc>
        <w:tc>
          <w:tcPr>
            <w:tcW w:w="1245" w:type="dxa"/>
            <w:vMerge w:val="restart"/>
            <w:shd w:val="clear" w:color="auto" w:fill="auto"/>
            <w:vAlign w:val="center"/>
          </w:tcPr>
          <w:p w14:paraId="75142ECA">
            <w:pPr>
              <w:jc w:val="center"/>
              <w:rPr>
                <w:rFonts w:ascii="宋体" w:hAnsi="宋体" w:eastAsia="宋体" w:cs="Times New Roman"/>
                <w:sz w:val="24"/>
                <w:highlight w:val="none"/>
              </w:rPr>
            </w:pPr>
            <w:r>
              <w:rPr>
                <w:rFonts w:hint="eastAsia" w:ascii="宋体" w:hAnsi="宋体" w:eastAsia="宋体" w:cs="Times New Roman"/>
                <w:sz w:val="24"/>
                <w:highlight w:val="none"/>
              </w:rPr>
              <w:t>QWEN推理性能</w:t>
            </w:r>
          </w:p>
        </w:tc>
        <w:tc>
          <w:tcPr>
            <w:tcW w:w="1334" w:type="dxa"/>
            <w:shd w:val="clear" w:color="auto" w:fill="auto"/>
            <w:vAlign w:val="center"/>
          </w:tcPr>
          <w:p w14:paraId="195E0CAD">
            <w:pPr>
              <w:jc w:val="center"/>
              <w:rPr>
                <w:rFonts w:ascii="宋体" w:hAnsi="宋体" w:eastAsia="宋体" w:cs="Times New Roman"/>
                <w:sz w:val="24"/>
                <w:highlight w:val="none"/>
              </w:rPr>
            </w:pPr>
            <w:r>
              <w:rPr>
                <w:rFonts w:hint="eastAsia" w:ascii="宋体" w:hAnsi="宋体" w:eastAsia="宋体" w:cs="Times New Roman"/>
                <w:sz w:val="24"/>
                <w:highlight w:val="none"/>
              </w:rPr>
              <w:t>#</w:t>
            </w:r>
          </w:p>
        </w:tc>
        <w:tc>
          <w:tcPr>
            <w:tcW w:w="6345" w:type="dxa"/>
            <w:shd w:val="clear" w:color="auto" w:fill="auto"/>
            <w:vAlign w:val="center"/>
          </w:tcPr>
          <w:p w14:paraId="6035037A">
            <w:pPr>
              <w:rPr>
                <w:rFonts w:ascii="宋体" w:hAnsi="宋体" w:eastAsia="宋体" w:cs="Times New Roman"/>
                <w:sz w:val="24"/>
                <w:highlight w:val="none"/>
              </w:rPr>
            </w:pPr>
            <w:r>
              <w:rPr>
                <w:rFonts w:hint="eastAsia" w:ascii="宋体" w:hAnsi="宋体" w:eastAsia="宋体" w:cs="Times New Roman"/>
                <w:sz w:val="24"/>
                <w:highlight w:val="none"/>
              </w:rPr>
              <w:t>满配GPU/NPU推理卡运行QWEN3-235B-BF16模型并关闭推理服务端缓存机制，在256/256</w:t>
            </w:r>
            <w:r>
              <w:rPr>
                <w:rFonts w:ascii="宋体" w:hAnsi="宋体" w:eastAsia="宋体" w:cs="Times New Roman"/>
                <w:sz w:val="24"/>
                <w:highlight w:val="none"/>
              </w:rPr>
              <w:t>token</w:t>
            </w:r>
            <w:r>
              <w:rPr>
                <w:rFonts w:hint="eastAsia" w:ascii="宋体" w:hAnsi="宋体" w:eastAsia="宋体" w:cs="Times New Roman"/>
                <w:sz w:val="24"/>
                <w:highlight w:val="none"/>
              </w:rPr>
              <w:t>输入输出的推理场景统计预填充阶段和解码阶段均未出现排队的有效数据： 输出下个token平均时延（TPOT）≤60ms时，大模型可承载≥120并发，单机生成吞吐≥2300 Tokens/秒，</w:t>
            </w:r>
            <w:r>
              <w:rPr>
                <w:rFonts w:ascii="宋体" w:hAnsi="宋体" w:eastAsia="宋体" w:cs="Times New Roman"/>
                <w:sz w:val="24"/>
                <w:highlight w:val="none"/>
              </w:rPr>
              <w:t>需提供国家认可的认证（检测）机构出具的检测报告</w:t>
            </w:r>
          </w:p>
        </w:tc>
      </w:tr>
      <w:tr w14:paraId="6420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07ACB9C2">
            <w:pPr>
              <w:jc w:val="center"/>
              <w:rPr>
                <w:rFonts w:ascii="宋体" w:hAnsi="宋体" w:eastAsia="宋体" w:cs="Times New Roman"/>
                <w:sz w:val="24"/>
                <w:highlight w:val="none"/>
              </w:rPr>
            </w:pPr>
            <w:r>
              <w:rPr>
                <w:rFonts w:hint="eastAsia" w:ascii="宋体" w:hAnsi="宋体" w:eastAsia="宋体" w:cs="Times New Roman"/>
                <w:sz w:val="24"/>
                <w:highlight w:val="none"/>
              </w:rPr>
              <w:t>14</w:t>
            </w:r>
          </w:p>
        </w:tc>
        <w:tc>
          <w:tcPr>
            <w:tcW w:w="1245" w:type="dxa"/>
            <w:vMerge w:val="continue"/>
            <w:shd w:val="clear" w:color="auto" w:fill="auto"/>
            <w:vAlign w:val="center"/>
          </w:tcPr>
          <w:p w14:paraId="571489BE">
            <w:pPr>
              <w:jc w:val="center"/>
              <w:rPr>
                <w:rFonts w:ascii="宋体" w:hAnsi="宋体" w:eastAsia="宋体" w:cs="Times New Roman"/>
                <w:sz w:val="24"/>
                <w:highlight w:val="none"/>
              </w:rPr>
            </w:pPr>
          </w:p>
        </w:tc>
        <w:tc>
          <w:tcPr>
            <w:tcW w:w="1334" w:type="dxa"/>
            <w:shd w:val="clear" w:color="auto" w:fill="auto"/>
            <w:vAlign w:val="center"/>
          </w:tcPr>
          <w:p w14:paraId="6BB9DD06">
            <w:pPr>
              <w:jc w:val="center"/>
              <w:rPr>
                <w:rFonts w:ascii="宋体" w:hAnsi="宋体" w:eastAsia="宋体" w:cs="Times New Roman"/>
                <w:sz w:val="24"/>
                <w:highlight w:val="none"/>
              </w:rPr>
            </w:pPr>
            <w:r>
              <w:rPr>
                <w:rFonts w:hint="eastAsia" w:ascii="宋体" w:hAnsi="宋体" w:eastAsia="宋体" w:cs="Times New Roman"/>
                <w:sz w:val="24"/>
                <w:highlight w:val="none"/>
              </w:rPr>
              <w:t>#</w:t>
            </w:r>
          </w:p>
        </w:tc>
        <w:tc>
          <w:tcPr>
            <w:tcW w:w="6345" w:type="dxa"/>
            <w:shd w:val="clear" w:color="auto" w:fill="auto"/>
            <w:vAlign w:val="center"/>
          </w:tcPr>
          <w:p w14:paraId="0FEEC721">
            <w:pPr>
              <w:rPr>
                <w:rFonts w:ascii="宋体" w:hAnsi="宋体" w:eastAsia="宋体" w:cs="Times New Roman"/>
                <w:sz w:val="24"/>
                <w:highlight w:val="none"/>
              </w:rPr>
            </w:pPr>
            <w:r>
              <w:rPr>
                <w:rFonts w:hint="eastAsia" w:ascii="宋体" w:hAnsi="宋体" w:eastAsia="宋体" w:cs="Times New Roman"/>
                <w:sz w:val="24"/>
                <w:highlight w:val="none"/>
              </w:rPr>
              <w:t>满配GPU/NPU推理卡运行QWEN3-235B-BF16模型并关闭推理服务端缓存机制，在1</w:t>
            </w:r>
            <w:r>
              <w:rPr>
                <w:rFonts w:ascii="宋体" w:hAnsi="宋体" w:eastAsia="宋体" w:cs="Times New Roman"/>
                <w:sz w:val="24"/>
                <w:highlight w:val="none"/>
              </w:rPr>
              <w:t>024</w:t>
            </w:r>
            <w:r>
              <w:rPr>
                <w:rFonts w:hint="eastAsia" w:ascii="宋体" w:hAnsi="宋体" w:eastAsia="宋体" w:cs="Times New Roman"/>
                <w:sz w:val="24"/>
                <w:highlight w:val="none"/>
              </w:rPr>
              <w:t>/1</w:t>
            </w:r>
            <w:r>
              <w:rPr>
                <w:rFonts w:ascii="宋体" w:hAnsi="宋体" w:eastAsia="宋体" w:cs="Times New Roman"/>
                <w:sz w:val="24"/>
                <w:highlight w:val="none"/>
              </w:rPr>
              <w:t>024token</w:t>
            </w:r>
            <w:r>
              <w:rPr>
                <w:rFonts w:hint="eastAsia" w:ascii="宋体" w:hAnsi="宋体" w:eastAsia="宋体" w:cs="Times New Roman"/>
                <w:sz w:val="24"/>
                <w:highlight w:val="none"/>
              </w:rPr>
              <w:t>输入输出的推理场景统计预填充阶段和解码阶段均未出现排队的有效数据： 输出下个token平均时延（TPOT）≤60ms时，大模型可承载≥100并发，单机生成吞吐≥1800 Tokens/秒，</w:t>
            </w:r>
            <w:r>
              <w:rPr>
                <w:rFonts w:ascii="宋体" w:hAnsi="宋体" w:eastAsia="宋体" w:cs="Times New Roman"/>
                <w:sz w:val="24"/>
                <w:highlight w:val="none"/>
              </w:rPr>
              <w:t>需提供国家认可的认证（检测）机构出具的检测报告</w:t>
            </w:r>
          </w:p>
        </w:tc>
      </w:tr>
      <w:tr w14:paraId="5F59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0C2CBC6E">
            <w:pPr>
              <w:jc w:val="center"/>
              <w:rPr>
                <w:rFonts w:ascii="宋体" w:hAnsi="宋体" w:eastAsia="宋体" w:cs="Times New Roman"/>
                <w:sz w:val="24"/>
                <w:highlight w:val="none"/>
              </w:rPr>
            </w:pPr>
            <w:r>
              <w:rPr>
                <w:rFonts w:hint="eastAsia" w:ascii="宋体" w:hAnsi="宋体" w:eastAsia="宋体" w:cs="Times New Roman"/>
                <w:sz w:val="24"/>
                <w:highlight w:val="none"/>
              </w:rPr>
              <w:t>15</w:t>
            </w:r>
          </w:p>
        </w:tc>
        <w:tc>
          <w:tcPr>
            <w:tcW w:w="1245" w:type="dxa"/>
            <w:shd w:val="clear" w:color="auto" w:fill="auto"/>
            <w:vAlign w:val="center"/>
          </w:tcPr>
          <w:p w14:paraId="0FB7B7C3">
            <w:pPr>
              <w:jc w:val="center"/>
              <w:rPr>
                <w:rFonts w:ascii="宋体" w:hAnsi="宋体" w:eastAsia="宋体" w:cs="Times New Roman"/>
                <w:sz w:val="24"/>
                <w:highlight w:val="none"/>
              </w:rPr>
            </w:pPr>
            <w:r>
              <w:rPr>
                <w:rFonts w:hint="eastAsia" w:ascii="宋体" w:hAnsi="宋体" w:eastAsia="宋体" w:cs="Times New Roman"/>
                <w:sz w:val="24"/>
                <w:highlight w:val="none"/>
              </w:rPr>
              <w:t>服务</w:t>
            </w:r>
          </w:p>
        </w:tc>
        <w:tc>
          <w:tcPr>
            <w:tcW w:w="1334" w:type="dxa"/>
            <w:shd w:val="clear" w:color="auto" w:fill="auto"/>
            <w:vAlign w:val="center"/>
          </w:tcPr>
          <w:p w14:paraId="6A3D04D1">
            <w:pPr>
              <w:jc w:val="center"/>
              <w:rPr>
                <w:rFonts w:ascii="宋体" w:hAnsi="宋体" w:eastAsia="宋体" w:cs="Times New Roman"/>
                <w:sz w:val="24"/>
                <w:highlight w:val="none"/>
              </w:rPr>
            </w:pPr>
          </w:p>
        </w:tc>
        <w:tc>
          <w:tcPr>
            <w:tcW w:w="6345" w:type="dxa"/>
            <w:shd w:val="clear" w:color="auto" w:fill="auto"/>
            <w:vAlign w:val="center"/>
          </w:tcPr>
          <w:p w14:paraId="607EFB21">
            <w:pPr>
              <w:rPr>
                <w:rFonts w:ascii="宋体" w:hAnsi="宋体" w:eastAsia="宋体" w:cs="Times New Roman"/>
                <w:sz w:val="24"/>
                <w:highlight w:val="none"/>
              </w:rPr>
            </w:pPr>
            <w:r>
              <w:rPr>
                <w:rFonts w:hint="eastAsia" w:ascii="宋体" w:hAnsi="宋体" w:eastAsia="宋体" w:cs="Times New Roman"/>
                <w:sz w:val="24"/>
                <w:highlight w:val="none"/>
              </w:rPr>
              <w:t>提供原厂安装服务、故障硬盘不返还服务、原厂</w:t>
            </w:r>
            <w:r>
              <w:rPr>
                <w:rFonts w:ascii="宋体" w:hAnsi="宋体" w:eastAsia="宋体" w:cs="Times New Roman"/>
                <w:sz w:val="24"/>
                <w:highlight w:val="none"/>
              </w:rPr>
              <w:t>3年维保服务，投标人提供承诺函并加盖投标人公章</w:t>
            </w:r>
          </w:p>
        </w:tc>
      </w:tr>
      <w:tr w14:paraId="5DEB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shd w:val="clear" w:color="auto" w:fill="auto"/>
            <w:vAlign w:val="center"/>
          </w:tcPr>
          <w:p w14:paraId="64737F2A">
            <w:pPr>
              <w:jc w:val="center"/>
              <w:rPr>
                <w:rFonts w:ascii="宋体" w:hAnsi="宋体" w:eastAsia="宋体" w:cs="Times New Roman"/>
                <w:sz w:val="24"/>
                <w:highlight w:val="none"/>
              </w:rPr>
            </w:pPr>
            <w:r>
              <w:rPr>
                <w:rFonts w:hint="eastAsia" w:ascii="宋体" w:hAnsi="宋体" w:eastAsia="宋体" w:cs="Times New Roman"/>
                <w:sz w:val="24"/>
                <w:highlight w:val="none"/>
              </w:rPr>
              <w:t>16</w:t>
            </w:r>
          </w:p>
        </w:tc>
        <w:tc>
          <w:tcPr>
            <w:tcW w:w="1245" w:type="dxa"/>
            <w:shd w:val="clear" w:color="auto" w:fill="auto"/>
            <w:vAlign w:val="center"/>
          </w:tcPr>
          <w:p w14:paraId="67A9A21D">
            <w:pPr>
              <w:jc w:val="center"/>
              <w:rPr>
                <w:rFonts w:ascii="宋体" w:hAnsi="宋体" w:eastAsia="宋体" w:cs="Times New Roman"/>
                <w:sz w:val="24"/>
                <w:highlight w:val="none"/>
              </w:rPr>
            </w:pPr>
            <w:r>
              <w:rPr>
                <w:rFonts w:hint="eastAsia" w:ascii="宋体" w:hAnsi="宋体" w:eastAsia="宋体" w:cs="Times New Roman"/>
                <w:sz w:val="24"/>
                <w:highlight w:val="none"/>
              </w:rPr>
              <w:t>其他</w:t>
            </w:r>
          </w:p>
        </w:tc>
        <w:tc>
          <w:tcPr>
            <w:tcW w:w="1334" w:type="dxa"/>
            <w:shd w:val="clear" w:color="auto" w:fill="auto"/>
            <w:vAlign w:val="center"/>
          </w:tcPr>
          <w:p w14:paraId="26785E31">
            <w:pPr>
              <w:jc w:val="center"/>
              <w:rPr>
                <w:rFonts w:ascii="宋体" w:hAnsi="宋体" w:eastAsia="宋体" w:cs="Times New Roman"/>
                <w:sz w:val="24"/>
                <w:highlight w:val="none"/>
              </w:rPr>
            </w:pPr>
          </w:p>
        </w:tc>
        <w:tc>
          <w:tcPr>
            <w:tcW w:w="6345" w:type="dxa"/>
            <w:shd w:val="clear" w:color="auto" w:fill="auto"/>
            <w:vAlign w:val="center"/>
          </w:tcPr>
          <w:p w14:paraId="4A8C66A9">
            <w:pPr>
              <w:rPr>
                <w:rFonts w:ascii="宋体" w:hAnsi="宋体" w:eastAsia="宋体" w:cs="Times New Roman"/>
                <w:sz w:val="24"/>
                <w:highlight w:val="none"/>
              </w:rPr>
            </w:pPr>
            <w:r>
              <w:rPr>
                <w:rFonts w:hint="eastAsia" w:ascii="宋体" w:hAnsi="宋体" w:eastAsia="宋体" w:cs="Times New Roman"/>
                <w:sz w:val="24"/>
                <w:highlight w:val="none"/>
              </w:rPr>
              <w:t>支持DeepSeek、通义千问等主流大模型的部署实施。</w:t>
            </w:r>
          </w:p>
        </w:tc>
      </w:tr>
    </w:tbl>
    <w:p w14:paraId="1A0FCE6A">
      <w:pPr>
        <w:spacing w:line="360" w:lineRule="auto"/>
        <w:ind w:firstLine="480" w:firstLineChars="200"/>
        <w:contextualSpacing/>
        <w:rPr>
          <w:rFonts w:ascii="宋体" w:hAnsi="宋体" w:eastAsia="宋体" w:cs="宋体"/>
          <w:sz w:val="24"/>
          <w:highlight w:val="none"/>
        </w:rPr>
      </w:pPr>
    </w:p>
    <w:p w14:paraId="36B059D9">
      <w:pPr>
        <w:keepNext/>
        <w:numPr>
          <w:ilvl w:val="4"/>
          <w:numId w:val="1"/>
        </w:numPr>
        <w:spacing w:before="240" w:beforeLines="100" w:after="120" w:afterLines="50" w:line="360" w:lineRule="auto"/>
        <w:ind w:left="640" w:hanging="640"/>
        <w:outlineLvl w:val="4"/>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AI参数面交换机技术指标要求</w:t>
      </w:r>
    </w:p>
    <w:p w14:paraId="6A1B857D">
      <w:pPr>
        <w:rPr>
          <w:rFonts w:ascii="宋体" w:hAnsi="宋体" w:eastAsia="宋体" w:cs="宋体"/>
          <w:sz w:val="24"/>
          <w:highlight w:val="none"/>
        </w:rPr>
      </w:pPr>
    </w:p>
    <w:tbl>
      <w:tblPr>
        <w:tblStyle w:val="2"/>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3"/>
        <w:gridCol w:w="875"/>
        <w:gridCol w:w="6623"/>
      </w:tblGrid>
      <w:tr w14:paraId="7440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3" w:type="dxa"/>
            <w:vAlign w:val="center"/>
          </w:tcPr>
          <w:p w14:paraId="7B0FF6E5">
            <w:pPr>
              <w:jc w:val="center"/>
              <w:rPr>
                <w:rFonts w:ascii="宋体" w:hAnsi="宋体" w:eastAsia="宋体" w:cs="宋体"/>
                <w:b/>
                <w:bCs/>
                <w:sz w:val="24"/>
                <w:highlight w:val="none"/>
              </w:rPr>
            </w:pPr>
            <w:r>
              <w:rPr>
                <w:rFonts w:hint="eastAsia" w:ascii="宋体" w:hAnsi="宋体" w:eastAsia="宋体" w:cs="宋体"/>
                <w:b/>
                <w:bCs/>
                <w:sz w:val="24"/>
                <w:highlight w:val="none"/>
              </w:rPr>
              <w:t>序号</w:t>
            </w:r>
          </w:p>
        </w:tc>
        <w:tc>
          <w:tcPr>
            <w:tcW w:w="993" w:type="dxa"/>
            <w:shd w:val="clear" w:color="auto" w:fill="auto"/>
            <w:vAlign w:val="center"/>
          </w:tcPr>
          <w:p w14:paraId="00C0BF70">
            <w:pPr>
              <w:jc w:val="center"/>
              <w:rPr>
                <w:rFonts w:ascii="宋体" w:hAnsi="宋体" w:eastAsia="宋体" w:cs="宋体"/>
                <w:b/>
                <w:bCs/>
                <w:sz w:val="24"/>
                <w:highlight w:val="none"/>
              </w:rPr>
            </w:pPr>
            <w:r>
              <w:rPr>
                <w:rFonts w:hint="eastAsia" w:ascii="宋体" w:hAnsi="宋体" w:eastAsia="宋体" w:cs="宋体"/>
                <w:b/>
                <w:bCs/>
                <w:sz w:val="24"/>
                <w:highlight w:val="none"/>
              </w:rPr>
              <w:t>指标项</w:t>
            </w:r>
          </w:p>
        </w:tc>
        <w:tc>
          <w:tcPr>
            <w:tcW w:w="875" w:type="dxa"/>
            <w:vAlign w:val="center"/>
          </w:tcPr>
          <w:p w14:paraId="42E22C42">
            <w:pPr>
              <w:jc w:val="center"/>
              <w:rPr>
                <w:rFonts w:ascii="宋体" w:hAnsi="宋体" w:eastAsia="宋体" w:cs="宋体"/>
                <w:b/>
                <w:bCs/>
                <w:sz w:val="24"/>
                <w:highlight w:val="none"/>
              </w:rPr>
            </w:pPr>
            <w:r>
              <w:rPr>
                <w:rFonts w:hint="eastAsia" w:ascii="宋体" w:hAnsi="宋体" w:eastAsia="宋体" w:cs="宋体"/>
                <w:b/>
                <w:bCs/>
                <w:sz w:val="24"/>
                <w:highlight w:val="none"/>
              </w:rPr>
              <w:t>重要性</w:t>
            </w:r>
          </w:p>
        </w:tc>
        <w:tc>
          <w:tcPr>
            <w:tcW w:w="6623" w:type="dxa"/>
            <w:vAlign w:val="center"/>
          </w:tcPr>
          <w:p w14:paraId="59670F7E">
            <w:pPr>
              <w:jc w:val="center"/>
              <w:rPr>
                <w:rFonts w:ascii="宋体" w:hAnsi="宋体" w:eastAsia="宋体" w:cs="宋体"/>
                <w:b/>
                <w:bCs/>
                <w:sz w:val="24"/>
                <w:highlight w:val="none"/>
              </w:rPr>
            </w:pPr>
            <w:r>
              <w:rPr>
                <w:rFonts w:hint="eastAsia" w:ascii="宋体" w:hAnsi="宋体" w:eastAsia="宋体" w:cs="宋体"/>
                <w:b/>
                <w:bCs/>
                <w:sz w:val="24"/>
                <w:highlight w:val="none"/>
              </w:rPr>
              <w:t>指标要求</w:t>
            </w:r>
          </w:p>
        </w:tc>
      </w:tr>
      <w:tr w14:paraId="5327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3" w:type="dxa"/>
            <w:vMerge w:val="restart"/>
            <w:vAlign w:val="center"/>
          </w:tcPr>
          <w:p w14:paraId="5B00AAAB">
            <w:pPr>
              <w:jc w:val="center"/>
              <w:rPr>
                <w:rFonts w:ascii="宋体" w:hAnsi="宋体" w:eastAsia="宋体" w:cs="宋体"/>
                <w:sz w:val="24"/>
                <w:highlight w:val="none"/>
              </w:rPr>
            </w:pPr>
            <w:r>
              <w:rPr>
                <w:rFonts w:hint="eastAsia" w:ascii="宋体" w:hAnsi="宋体" w:eastAsia="宋体" w:cs="宋体"/>
                <w:sz w:val="24"/>
                <w:highlight w:val="none"/>
              </w:rPr>
              <w:t>1</w:t>
            </w:r>
          </w:p>
        </w:tc>
        <w:tc>
          <w:tcPr>
            <w:tcW w:w="993" w:type="dxa"/>
            <w:vMerge w:val="restart"/>
            <w:shd w:val="clear" w:color="auto" w:fill="auto"/>
            <w:vAlign w:val="center"/>
          </w:tcPr>
          <w:p w14:paraId="3E815EFB">
            <w:pPr>
              <w:jc w:val="center"/>
              <w:rPr>
                <w:rFonts w:ascii="宋体" w:hAnsi="宋体" w:eastAsia="宋体" w:cs="宋体"/>
                <w:sz w:val="24"/>
                <w:highlight w:val="none"/>
              </w:rPr>
            </w:pPr>
            <w:r>
              <w:rPr>
                <w:rFonts w:hint="eastAsia" w:ascii="宋体" w:hAnsi="宋体" w:eastAsia="宋体" w:cs="宋体"/>
                <w:sz w:val="24"/>
                <w:highlight w:val="none"/>
              </w:rPr>
              <w:t>硬件</w:t>
            </w:r>
          </w:p>
          <w:p w14:paraId="00161147">
            <w:pPr>
              <w:jc w:val="center"/>
              <w:rPr>
                <w:rFonts w:ascii="宋体" w:hAnsi="宋体" w:eastAsia="宋体" w:cs="宋体"/>
                <w:sz w:val="24"/>
                <w:highlight w:val="none"/>
              </w:rPr>
            </w:pPr>
            <w:r>
              <w:rPr>
                <w:rFonts w:hint="eastAsia" w:ascii="宋体" w:hAnsi="宋体" w:eastAsia="宋体" w:cs="宋体"/>
                <w:sz w:val="24"/>
                <w:highlight w:val="none"/>
              </w:rPr>
              <w:t>规格</w:t>
            </w:r>
          </w:p>
        </w:tc>
        <w:tc>
          <w:tcPr>
            <w:tcW w:w="875" w:type="dxa"/>
            <w:vAlign w:val="center"/>
          </w:tcPr>
          <w:p w14:paraId="5F8FB063">
            <w:pPr>
              <w:jc w:val="center"/>
              <w:rPr>
                <w:rFonts w:ascii="宋体" w:hAnsi="宋体" w:eastAsia="宋体" w:cs="宋体"/>
                <w:sz w:val="24"/>
                <w:highlight w:val="none"/>
              </w:rPr>
            </w:pPr>
          </w:p>
        </w:tc>
        <w:tc>
          <w:tcPr>
            <w:tcW w:w="6623" w:type="dxa"/>
            <w:vAlign w:val="center"/>
          </w:tcPr>
          <w:p w14:paraId="1E13EB20">
            <w:pPr>
              <w:rPr>
                <w:rFonts w:ascii="宋体" w:hAnsi="宋体" w:eastAsia="宋体" w:cs="宋体"/>
                <w:sz w:val="24"/>
                <w:highlight w:val="none"/>
              </w:rPr>
            </w:pPr>
            <w:r>
              <w:rPr>
                <w:rFonts w:hint="eastAsia" w:ascii="宋体" w:hAnsi="宋体" w:eastAsia="宋体" w:cs="宋体"/>
                <w:sz w:val="24"/>
                <w:highlight w:val="none"/>
              </w:rPr>
              <w:t>框式交换机，标准机架式设备</w:t>
            </w:r>
          </w:p>
        </w:tc>
      </w:tr>
      <w:tr w14:paraId="45D3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93" w:type="dxa"/>
            <w:vMerge w:val="continue"/>
            <w:vAlign w:val="center"/>
          </w:tcPr>
          <w:p w14:paraId="69FEBABA">
            <w:pPr>
              <w:jc w:val="center"/>
              <w:rPr>
                <w:rFonts w:ascii="宋体" w:hAnsi="宋体" w:eastAsia="宋体" w:cs="宋体"/>
                <w:sz w:val="24"/>
                <w:highlight w:val="none"/>
              </w:rPr>
            </w:pPr>
          </w:p>
        </w:tc>
        <w:tc>
          <w:tcPr>
            <w:tcW w:w="993" w:type="dxa"/>
            <w:vMerge w:val="continue"/>
            <w:shd w:val="clear" w:color="auto" w:fill="auto"/>
            <w:vAlign w:val="center"/>
          </w:tcPr>
          <w:p w14:paraId="3021D2EF">
            <w:pPr>
              <w:jc w:val="center"/>
              <w:rPr>
                <w:rFonts w:ascii="宋体" w:hAnsi="宋体" w:eastAsia="宋体" w:cs="宋体"/>
                <w:sz w:val="24"/>
                <w:highlight w:val="none"/>
              </w:rPr>
            </w:pPr>
          </w:p>
        </w:tc>
        <w:tc>
          <w:tcPr>
            <w:tcW w:w="875" w:type="dxa"/>
            <w:vAlign w:val="center"/>
          </w:tcPr>
          <w:p w14:paraId="0610589D">
            <w:pPr>
              <w:jc w:val="center"/>
              <w:rPr>
                <w:rFonts w:ascii="宋体" w:hAnsi="宋体" w:eastAsia="宋体" w:cs="宋体"/>
                <w:sz w:val="24"/>
                <w:highlight w:val="none"/>
              </w:rPr>
            </w:pPr>
          </w:p>
        </w:tc>
        <w:tc>
          <w:tcPr>
            <w:tcW w:w="6623" w:type="dxa"/>
            <w:vAlign w:val="center"/>
          </w:tcPr>
          <w:p w14:paraId="6327E6AA">
            <w:pPr>
              <w:jc w:val="left"/>
              <w:rPr>
                <w:rFonts w:ascii="宋体" w:hAnsi="宋体" w:eastAsia="宋体" w:cs="宋体"/>
                <w:sz w:val="24"/>
                <w:highlight w:val="none"/>
              </w:rPr>
            </w:pPr>
            <w:r>
              <w:rPr>
                <w:rFonts w:hint="eastAsia" w:ascii="宋体" w:hAnsi="宋体" w:eastAsia="宋体" w:cs="宋体"/>
                <w:sz w:val="24"/>
                <w:highlight w:val="none"/>
              </w:rPr>
              <w:t>数据中心级交换机，支持全字节线速转发</w:t>
            </w:r>
          </w:p>
        </w:tc>
      </w:tr>
      <w:tr w14:paraId="4D87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vAlign w:val="center"/>
          </w:tcPr>
          <w:p w14:paraId="1E1ABCBD">
            <w:pPr>
              <w:jc w:val="center"/>
              <w:rPr>
                <w:rFonts w:ascii="宋体" w:hAnsi="宋体" w:eastAsia="宋体" w:cs="宋体"/>
                <w:sz w:val="24"/>
                <w:highlight w:val="none"/>
              </w:rPr>
            </w:pPr>
          </w:p>
        </w:tc>
        <w:tc>
          <w:tcPr>
            <w:tcW w:w="993" w:type="dxa"/>
            <w:vMerge w:val="continue"/>
            <w:shd w:val="clear" w:color="auto" w:fill="auto"/>
            <w:vAlign w:val="center"/>
          </w:tcPr>
          <w:p w14:paraId="0F5F8760">
            <w:pPr>
              <w:jc w:val="center"/>
              <w:rPr>
                <w:rFonts w:ascii="宋体" w:hAnsi="宋体" w:eastAsia="宋体" w:cs="宋体"/>
                <w:sz w:val="24"/>
                <w:highlight w:val="none"/>
              </w:rPr>
            </w:pPr>
          </w:p>
        </w:tc>
        <w:tc>
          <w:tcPr>
            <w:tcW w:w="875" w:type="dxa"/>
            <w:vAlign w:val="center"/>
          </w:tcPr>
          <w:p w14:paraId="1561A88F">
            <w:pPr>
              <w:jc w:val="center"/>
              <w:rPr>
                <w:rFonts w:ascii="宋体" w:hAnsi="宋体" w:eastAsia="宋体" w:cs="宋体"/>
                <w:sz w:val="24"/>
                <w:highlight w:val="none"/>
              </w:rPr>
            </w:pPr>
          </w:p>
        </w:tc>
        <w:tc>
          <w:tcPr>
            <w:tcW w:w="6623" w:type="dxa"/>
            <w:vAlign w:val="center"/>
          </w:tcPr>
          <w:p w14:paraId="1CFD2625">
            <w:pPr>
              <w:rPr>
                <w:rFonts w:ascii="宋体" w:hAnsi="宋体" w:eastAsia="宋体" w:cs="宋体"/>
                <w:sz w:val="24"/>
                <w:highlight w:val="none"/>
              </w:rPr>
            </w:pPr>
            <w:r>
              <w:rPr>
                <w:rFonts w:hint="eastAsia" w:ascii="宋体" w:hAnsi="宋体" w:eastAsia="宋体" w:cs="宋体"/>
                <w:sz w:val="24"/>
                <w:highlight w:val="none"/>
              </w:rPr>
              <w:t xml:space="preserve">双主控，交换网板槽位数≥7个，业务槽位数≥4个，风扇框冗余设计，风扇框个数≥3个 </w:t>
            </w:r>
          </w:p>
        </w:tc>
      </w:tr>
      <w:tr w14:paraId="3C37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Align w:val="center"/>
          </w:tcPr>
          <w:p w14:paraId="700DA12A">
            <w:pPr>
              <w:jc w:val="center"/>
              <w:rPr>
                <w:rFonts w:ascii="宋体" w:hAnsi="宋体" w:eastAsia="宋体" w:cs="宋体"/>
                <w:sz w:val="24"/>
                <w:highlight w:val="none"/>
              </w:rPr>
            </w:pPr>
            <w:r>
              <w:rPr>
                <w:rFonts w:hint="eastAsia" w:ascii="宋体" w:hAnsi="宋体" w:eastAsia="宋体" w:cs="宋体"/>
                <w:sz w:val="24"/>
                <w:highlight w:val="none"/>
              </w:rPr>
              <w:t>2</w:t>
            </w:r>
          </w:p>
        </w:tc>
        <w:tc>
          <w:tcPr>
            <w:tcW w:w="993" w:type="dxa"/>
            <w:shd w:val="clear" w:color="auto" w:fill="auto"/>
            <w:vAlign w:val="center"/>
          </w:tcPr>
          <w:p w14:paraId="45A606CD">
            <w:pPr>
              <w:jc w:val="center"/>
              <w:rPr>
                <w:rFonts w:ascii="宋体" w:hAnsi="宋体" w:eastAsia="宋体" w:cs="宋体"/>
                <w:sz w:val="24"/>
                <w:highlight w:val="none"/>
              </w:rPr>
            </w:pPr>
            <w:r>
              <w:rPr>
                <w:rFonts w:hint="eastAsia" w:ascii="宋体" w:hAnsi="宋体" w:eastAsia="宋体" w:cs="宋体"/>
                <w:sz w:val="24"/>
                <w:highlight w:val="none"/>
              </w:rPr>
              <w:t>转发</w:t>
            </w:r>
          </w:p>
          <w:p w14:paraId="31C3C40F">
            <w:pPr>
              <w:jc w:val="center"/>
              <w:rPr>
                <w:rFonts w:ascii="宋体" w:hAnsi="宋体" w:eastAsia="宋体" w:cs="宋体"/>
                <w:sz w:val="24"/>
                <w:highlight w:val="none"/>
              </w:rPr>
            </w:pPr>
            <w:r>
              <w:rPr>
                <w:rFonts w:hint="eastAsia" w:ascii="宋体" w:hAnsi="宋体" w:eastAsia="宋体" w:cs="宋体"/>
                <w:sz w:val="24"/>
                <w:highlight w:val="none"/>
              </w:rPr>
              <w:t>性能</w:t>
            </w:r>
          </w:p>
        </w:tc>
        <w:tc>
          <w:tcPr>
            <w:tcW w:w="875" w:type="dxa"/>
            <w:vAlign w:val="center"/>
          </w:tcPr>
          <w:p w14:paraId="5DE4F65A">
            <w:pPr>
              <w:jc w:val="center"/>
              <w:rPr>
                <w:rFonts w:ascii="宋体" w:hAnsi="宋体" w:eastAsia="宋体" w:cs="宋体"/>
                <w:sz w:val="24"/>
                <w:highlight w:val="none"/>
              </w:rPr>
            </w:pPr>
            <w:r>
              <w:rPr>
                <w:rFonts w:hint="eastAsia" w:ascii="宋体" w:hAnsi="宋体" w:eastAsia="宋体" w:cs="宋体"/>
                <w:sz w:val="24"/>
                <w:highlight w:val="none"/>
              </w:rPr>
              <w:t>#</w:t>
            </w:r>
          </w:p>
        </w:tc>
        <w:tc>
          <w:tcPr>
            <w:tcW w:w="6623" w:type="dxa"/>
            <w:vAlign w:val="center"/>
          </w:tcPr>
          <w:p w14:paraId="162DF6BF">
            <w:pPr>
              <w:rPr>
                <w:rFonts w:ascii="宋体" w:hAnsi="宋体" w:eastAsia="宋体" w:cs="宋体"/>
                <w:sz w:val="24"/>
                <w:highlight w:val="none"/>
              </w:rPr>
            </w:pPr>
            <w:r>
              <w:rPr>
                <w:rFonts w:hint="eastAsia" w:ascii="宋体" w:hAnsi="宋体" w:eastAsia="宋体" w:cs="宋体"/>
                <w:sz w:val="24"/>
                <w:highlight w:val="none"/>
              </w:rPr>
              <w:t>交换容量≥900 Tbps，包转发率≥230000 Mpps</w:t>
            </w:r>
          </w:p>
        </w:tc>
      </w:tr>
      <w:tr w14:paraId="0326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93" w:type="dxa"/>
            <w:vMerge w:val="restart"/>
            <w:vAlign w:val="center"/>
          </w:tcPr>
          <w:p w14:paraId="0D5BF977">
            <w:pPr>
              <w:jc w:val="center"/>
              <w:rPr>
                <w:rFonts w:ascii="宋体" w:hAnsi="宋体" w:eastAsia="宋体" w:cs="宋体"/>
                <w:sz w:val="24"/>
                <w:highlight w:val="none"/>
              </w:rPr>
            </w:pPr>
            <w:r>
              <w:rPr>
                <w:rFonts w:hint="eastAsia" w:ascii="宋体" w:hAnsi="宋体" w:eastAsia="宋体" w:cs="宋体"/>
                <w:sz w:val="24"/>
                <w:highlight w:val="none"/>
              </w:rPr>
              <w:t>3</w:t>
            </w:r>
          </w:p>
        </w:tc>
        <w:tc>
          <w:tcPr>
            <w:tcW w:w="993" w:type="dxa"/>
            <w:vMerge w:val="restart"/>
            <w:shd w:val="clear" w:color="auto" w:fill="auto"/>
            <w:vAlign w:val="center"/>
          </w:tcPr>
          <w:p w14:paraId="64CFFF89">
            <w:pPr>
              <w:jc w:val="center"/>
              <w:rPr>
                <w:rFonts w:ascii="宋体" w:hAnsi="宋体" w:eastAsia="宋体" w:cs="宋体"/>
                <w:sz w:val="24"/>
                <w:highlight w:val="none"/>
              </w:rPr>
            </w:pPr>
            <w:r>
              <w:rPr>
                <w:rFonts w:hint="eastAsia" w:ascii="宋体" w:hAnsi="宋体" w:eastAsia="宋体" w:cs="宋体"/>
                <w:sz w:val="24"/>
                <w:highlight w:val="none"/>
              </w:rPr>
              <w:t>实配</w:t>
            </w:r>
          </w:p>
        </w:tc>
        <w:tc>
          <w:tcPr>
            <w:tcW w:w="875" w:type="dxa"/>
            <w:vAlign w:val="center"/>
          </w:tcPr>
          <w:p w14:paraId="7D529E54">
            <w:pPr>
              <w:jc w:val="center"/>
              <w:rPr>
                <w:rFonts w:ascii="宋体" w:hAnsi="宋体" w:eastAsia="宋体" w:cs="宋体"/>
                <w:sz w:val="24"/>
                <w:highlight w:val="none"/>
              </w:rPr>
            </w:pPr>
          </w:p>
        </w:tc>
        <w:tc>
          <w:tcPr>
            <w:tcW w:w="6623" w:type="dxa"/>
            <w:vAlign w:val="center"/>
          </w:tcPr>
          <w:p w14:paraId="00C2055B">
            <w:pPr>
              <w:rPr>
                <w:rFonts w:ascii="宋体" w:hAnsi="宋体" w:eastAsia="宋体" w:cs="宋体"/>
                <w:sz w:val="24"/>
                <w:highlight w:val="none"/>
              </w:rPr>
            </w:pPr>
            <w:r>
              <w:rPr>
                <w:rFonts w:hint="eastAsia" w:ascii="宋体" w:hAnsi="宋体" w:eastAsia="宋体" w:cs="宋体"/>
                <w:sz w:val="24"/>
                <w:highlight w:val="none"/>
              </w:rPr>
              <w:t>主控引擎≥2个</w:t>
            </w:r>
          </w:p>
        </w:tc>
      </w:tr>
      <w:tr w14:paraId="018D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93" w:type="dxa"/>
            <w:vMerge w:val="continue"/>
            <w:vAlign w:val="center"/>
          </w:tcPr>
          <w:p w14:paraId="64ABC8C9">
            <w:pPr>
              <w:jc w:val="center"/>
              <w:rPr>
                <w:rFonts w:ascii="宋体" w:hAnsi="宋体" w:eastAsia="宋体" w:cs="宋体"/>
                <w:sz w:val="24"/>
                <w:highlight w:val="none"/>
              </w:rPr>
            </w:pPr>
          </w:p>
        </w:tc>
        <w:tc>
          <w:tcPr>
            <w:tcW w:w="993" w:type="dxa"/>
            <w:vMerge w:val="continue"/>
            <w:shd w:val="clear" w:color="auto" w:fill="auto"/>
            <w:vAlign w:val="center"/>
          </w:tcPr>
          <w:p w14:paraId="20234B93">
            <w:pPr>
              <w:jc w:val="center"/>
              <w:rPr>
                <w:rFonts w:ascii="宋体" w:hAnsi="宋体" w:eastAsia="宋体" w:cs="宋体"/>
                <w:sz w:val="24"/>
                <w:highlight w:val="none"/>
              </w:rPr>
            </w:pPr>
          </w:p>
        </w:tc>
        <w:tc>
          <w:tcPr>
            <w:tcW w:w="875" w:type="dxa"/>
            <w:vAlign w:val="center"/>
          </w:tcPr>
          <w:p w14:paraId="3DFFABFA">
            <w:pPr>
              <w:jc w:val="center"/>
              <w:rPr>
                <w:rFonts w:ascii="宋体" w:hAnsi="宋体" w:eastAsia="宋体" w:cs="宋体"/>
                <w:sz w:val="24"/>
                <w:highlight w:val="none"/>
              </w:rPr>
            </w:pPr>
          </w:p>
        </w:tc>
        <w:tc>
          <w:tcPr>
            <w:tcW w:w="6623" w:type="dxa"/>
            <w:vAlign w:val="center"/>
          </w:tcPr>
          <w:p w14:paraId="3EA1E72B">
            <w:pPr>
              <w:rPr>
                <w:rFonts w:ascii="宋体" w:hAnsi="宋体" w:eastAsia="宋体" w:cs="宋体"/>
                <w:sz w:val="24"/>
                <w:highlight w:val="none"/>
              </w:rPr>
            </w:pPr>
            <w:r>
              <w:rPr>
                <w:rFonts w:hint="eastAsia" w:ascii="宋体" w:hAnsi="宋体" w:eastAsia="宋体" w:cs="宋体"/>
                <w:sz w:val="24"/>
                <w:highlight w:val="none"/>
              </w:rPr>
              <w:t>≥120个400GE以太网光接口</w:t>
            </w:r>
          </w:p>
        </w:tc>
      </w:tr>
      <w:tr w14:paraId="5B4B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vAlign w:val="center"/>
          </w:tcPr>
          <w:p w14:paraId="23A2099C">
            <w:pPr>
              <w:jc w:val="center"/>
              <w:rPr>
                <w:rFonts w:ascii="宋体" w:hAnsi="宋体" w:eastAsia="宋体" w:cs="宋体"/>
                <w:sz w:val="24"/>
                <w:highlight w:val="none"/>
              </w:rPr>
            </w:pPr>
          </w:p>
        </w:tc>
        <w:tc>
          <w:tcPr>
            <w:tcW w:w="993" w:type="dxa"/>
            <w:vMerge w:val="continue"/>
            <w:shd w:val="clear" w:color="auto" w:fill="auto"/>
            <w:vAlign w:val="center"/>
          </w:tcPr>
          <w:p w14:paraId="76474904">
            <w:pPr>
              <w:jc w:val="center"/>
              <w:rPr>
                <w:rFonts w:ascii="宋体" w:hAnsi="宋体" w:eastAsia="宋体" w:cs="宋体"/>
                <w:sz w:val="24"/>
                <w:highlight w:val="none"/>
              </w:rPr>
            </w:pPr>
          </w:p>
        </w:tc>
        <w:tc>
          <w:tcPr>
            <w:tcW w:w="875" w:type="dxa"/>
            <w:vAlign w:val="center"/>
          </w:tcPr>
          <w:p w14:paraId="35ADCADF">
            <w:pPr>
              <w:jc w:val="center"/>
              <w:rPr>
                <w:rFonts w:ascii="宋体" w:hAnsi="宋体" w:eastAsia="宋体" w:cs="宋体"/>
                <w:sz w:val="24"/>
                <w:highlight w:val="none"/>
              </w:rPr>
            </w:pPr>
          </w:p>
        </w:tc>
        <w:tc>
          <w:tcPr>
            <w:tcW w:w="6623" w:type="dxa"/>
            <w:vAlign w:val="center"/>
          </w:tcPr>
          <w:p w14:paraId="5AA8A2B3">
            <w:pPr>
              <w:rPr>
                <w:rFonts w:ascii="宋体" w:hAnsi="宋体" w:eastAsia="宋体" w:cs="宋体"/>
                <w:sz w:val="24"/>
                <w:highlight w:val="none"/>
              </w:rPr>
            </w:pPr>
            <w:r>
              <w:rPr>
                <w:rFonts w:hint="eastAsia" w:ascii="宋体" w:hAnsi="宋体" w:eastAsia="宋体" w:cs="宋体"/>
                <w:sz w:val="24"/>
                <w:highlight w:val="none"/>
              </w:rPr>
              <w:t>≥90个400G多模光模块</w:t>
            </w:r>
          </w:p>
        </w:tc>
      </w:tr>
      <w:tr w14:paraId="76DD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vAlign w:val="center"/>
          </w:tcPr>
          <w:p w14:paraId="7BFA6378">
            <w:pPr>
              <w:jc w:val="center"/>
              <w:rPr>
                <w:rFonts w:ascii="宋体" w:hAnsi="宋体" w:eastAsia="宋体" w:cs="宋体"/>
                <w:sz w:val="24"/>
                <w:highlight w:val="none"/>
              </w:rPr>
            </w:pPr>
          </w:p>
        </w:tc>
        <w:tc>
          <w:tcPr>
            <w:tcW w:w="993" w:type="dxa"/>
            <w:vMerge w:val="continue"/>
            <w:shd w:val="clear" w:color="auto" w:fill="auto"/>
            <w:vAlign w:val="center"/>
          </w:tcPr>
          <w:p w14:paraId="217347D8">
            <w:pPr>
              <w:jc w:val="center"/>
              <w:rPr>
                <w:rFonts w:ascii="宋体" w:hAnsi="宋体" w:eastAsia="宋体" w:cs="宋体"/>
                <w:sz w:val="24"/>
                <w:highlight w:val="none"/>
              </w:rPr>
            </w:pPr>
          </w:p>
        </w:tc>
        <w:tc>
          <w:tcPr>
            <w:tcW w:w="875" w:type="dxa"/>
            <w:vAlign w:val="center"/>
          </w:tcPr>
          <w:p w14:paraId="6A6BD2F3">
            <w:pPr>
              <w:jc w:val="center"/>
              <w:rPr>
                <w:rFonts w:ascii="宋体" w:hAnsi="宋体" w:eastAsia="宋体" w:cs="宋体"/>
                <w:sz w:val="24"/>
                <w:highlight w:val="none"/>
              </w:rPr>
            </w:pPr>
          </w:p>
        </w:tc>
        <w:tc>
          <w:tcPr>
            <w:tcW w:w="6623" w:type="dxa"/>
            <w:vAlign w:val="center"/>
          </w:tcPr>
          <w:p w14:paraId="7FF38333">
            <w:pPr>
              <w:rPr>
                <w:rFonts w:ascii="宋体" w:hAnsi="宋体" w:eastAsia="宋体" w:cs="宋体"/>
                <w:sz w:val="24"/>
                <w:highlight w:val="none"/>
              </w:rPr>
            </w:pPr>
            <w:r>
              <w:rPr>
                <w:rFonts w:hint="eastAsia" w:ascii="宋体" w:hAnsi="宋体" w:eastAsia="宋体" w:cs="宋体"/>
                <w:sz w:val="24"/>
                <w:highlight w:val="none"/>
              </w:rPr>
              <w:t>交流电源≥</w:t>
            </w:r>
            <w:r>
              <w:rPr>
                <w:rFonts w:ascii="宋体" w:hAnsi="宋体" w:eastAsia="宋体" w:cs="宋体"/>
                <w:sz w:val="24"/>
                <w:highlight w:val="none"/>
              </w:rPr>
              <w:t>5</w:t>
            </w:r>
            <w:r>
              <w:rPr>
                <w:rFonts w:hint="eastAsia" w:ascii="宋体" w:hAnsi="宋体" w:eastAsia="宋体" w:cs="宋体"/>
                <w:sz w:val="24"/>
                <w:highlight w:val="none"/>
              </w:rPr>
              <w:t>个</w:t>
            </w:r>
          </w:p>
        </w:tc>
      </w:tr>
      <w:tr w14:paraId="1DE3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vAlign w:val="center"/>
          </w:tcPr>
          <w:p w14:paraId="1C4553C5">
            <w:pPr>
              <w:jc w:val="center"/>
              <w:rPr>
                <w:rFonts w:ascii="宋体" w:hAnsi="宋体" w:eastAsia="宋体" w:cs="宋体"/>
                <w:sz w:val="24"/>
                <w:highlight w:val="none"/>
              </w:rPr>
            </w:pPr>
          </w:p>
        </w:tc>
        <w:tc>
          <w:tcPr>
            <w:tcW w:w="993" w:type="dxa"/>
            <w:vMerge w:val="continue"/>
            <w:shd w:val="clear" w:color="auto" w:fill="auto"/>
            <w:vAlign w:val="center"/>
          </w:tcPr>
          <w:p w14:paraId="49301E22">
            <w:pPr>
              <w:jc w:val="center"/>
              <w:rPr>
                <w:rFonts w:ascii="宋体" w:hAnsi="宋体" w:eastAsia="宋体" w:cs="宋体"/>
                <w:sz w:val="24"/>
                <w:highlight w:val="none"/>
              </w:rPr>
            </w:pPr>
          </w:p>
        </w:tc>
        <w:tc>
          <w:tcPr>
            <w:tcW w:w="875" w:type="dxa"/>
            <w:vAlign w:val="center"/>
          </w:tcPr>
          <w:p w14:paraId="09ACAC00">
            <w:pPr>
              <w:jc w:val="center"/>
              <w:rPr>
                <w:rFonts w:ascii="宋体" w:hAnsi="宋体" w:eastAsia="宋体" w:cs="宋体"/>
                <w:sz w:val="24"/>
                <w:highlight w:val="none"/>
              </w:rPr>
            </w:pPr>
          </w:p>
        </w:tc>
        <w:tc>
          <w:tcPr>
            <w:tcW w:w="6623" w:type="dxa"/>
            <w:vAlign w:val="center"/>
          </w:tcPr>
          <w:p w14:paraId="1DD58F7D">
            <w:pPr>
              <w:rPr>
                <w:rFonts w:ascii="宋体" w:hAnsi="宋体" w:eastAsia="宋体" w:cs="宋体"/>
                <w:sz w:val="24"/>
                <w:highlight w:val="none"/>
              </w:rPr>
            </w:pPr>
            <w:r>
              <w:rPr>
                <w:rFonts w:hint="eastAsia" w:ascii="宋体" w:hAnsi="宋体" w:eastAsia="宋体" w:cs="宋体"/>
                <w:sz w:val="24"/>
                <w:highlight w:val="none"/>
              </w:rPr>
              <w:t>≥90根30m一分二光纤，用于交换机400G光模块和GPU服务器200G光模块之间的连接</w:t>
            </w:r>
          </w:p>
        </w:tc>
      </w:tr>
      <w:tr w14:paraId="161D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Align w:val="center"/>
          </w:tcPr>
          <w:p w14:paraId="23D0A5E6">
            <w:pPr>
              <w:jc w:val="center"/>
              <w:rPr>
                <w:rFonts w:ascii="宋体" w:hAnsi="宋体" w:eastAsia="宋体" w:cs="宋体"/>
                <w:sz w:val="24"/>
                <w:highlight w:val="none"/>
              </w:rPr>
            </w:pPr>
            <w:r>
              <w:rPr>
                <w:rFonts w:ascii="宋体" w:hAnsi="宋体" w:eastAsia="宋体" w:cs="宋体"/>
                <w:sz w:val="24"/>
                <w:highlight w:val="none"/>
              </w:rPr>
              <w:t>4</w:t>
            </w:r>
          </w:p>
        </w:tc>
        <w:tc>
          <w:tcPr>
            <w:tcW w:w="993" w:type="dxa"/>
            <w:shd w:val="clear" w:color="auto" w:fill="auto"/>
            <w:vAlign w:val="center"/>
          </w:tcPr>
          <w:p w14:paraId="60D54CB0">
            <w:pPr>
              <w:jc w:val="center"/>
              <w:rPr>
                <w:rFonts w:ascii="宋体" w:hAnsi="宋体" w:eastAsia="宋体" w:cs="宋体"/>
                <w:sz w:val="24"/>
                <w:highlight w:val="none"/>
              </w:rPr>
            </w:pPr>
            <w:r>
              <w:rPr>
                <w:rFonts w:hint="eastAsia" w:ascii="宋体" w:hAnsi="宋体" w:eastAsia="宋体" w:cs="宋体"/>
                <w:sz w:val="24"/>
                <w:highlight w:val="none"/>
              </w:rPr>
              <w:t>协议</w:t>
            </w:r>
          </w:p>
          <w:p w14:paraId="465FF2B4">
            <w:pPr>
              <w:jc w:val="center"/>
              <w:rPr>
                <w:rFonts w:ascii="宋体" w:hAnsi="宋体" w:eastAsia="宋体" w:cs="宋体"/>
                <w:sz w:val="24"/>
                <w:highlight w:val="none"/>
              </w:rPr>
            </w:pPr>
            <w:r>
              <w:rPr>
                <w:rFonts w:hint="eastAsia" w:ascii="宋体" w:hAnsi="宋体" w:eastAsia="宋体" w:cs="宋体"/>
                <w:sz w:val="24"/>
                <w:highlight w:val="none"/>
              </w:rPr>
              <w:t>要求</w:t>
            </w:r>
          </w:p>
        </w:tc>
        <w:tc>
          <w:tcPr>
            <w:tcW w:w="875" w:type="dxa"/>
            <w:vAlign w:val="center"/>
          </w:tcPr>
          <w:p w14:paraId="1E94BF07">
            <w:pPr>
              <w:jc w:val="center"/>
              <w:rPr>
                <w:rFonts w:ascii="宋体" w:hAnsi="宋体" w:eastAsia="宋体" w:cs="宋体"/>
                <w:sz w:val="24"/>
                <w:highlight w:val="none"/>
              </w:rPr>
            </w:pPr>
          </w:p>
        </w:tc>
        <w:tc>
          <w:tcPr>
            <w:tcW w:w="6623" w:type="dxa"/>
            <w:vAlign w:val="center"/>
          </w:tcPr>
          <w:p w14:paraId="69A2052B">
            <w:pPr>
              <w:rPr>
                <w:rFonts w:ascii="宋体" w:hAnsi="宋体" w:eastAsia="宋体" w:cs="宋体"/>
                <w:sz w:val="24"/>
                <w:highlight w:val="none"/>
              </w:rPr>
            </w:pPr>
            <w:r>
              <w:rPr>
                <w:rFonts w:hint="eastAsia" w:ascii="宋体" w:hAnsi="宋体" w:eastAsia="宋体" w:cs="宋体"/>
                <w:sz w:val="24"/>
                <w:highlight w:val="none"/>
              </w:rPr>
              <w:t>支持IPv4/IPv6双栈</w:t>
            </w:r>
          </w:p>
        </w:tc>
      </w:tr>
      <w:tr w14:paraId="2197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93" w:type="dxa"/>
            <w:vAlign w:val="center"/>
          </w:tcPr>
          <w:p w14:paraId="2583D0E3">
            <w:pPr>
              <w:jc w:val="center"/>
              <w:rPr>
                <w:rFonts w:ascii="宋体" w:hAnsi="宋体" w:eastAsia="宋体" w:cs="宋体"/>
                <w:sz w:val="24"/>
                <w:highlight w:val="none"/>
              </w:rPr>
            </w:pPr>
            <w:r>
              <w:rPr>
                <w:rFonts w:ascii="宋体" w:hAnsi="宋体" w:eastAsia="宋体" w:cs="宋体"/>
                <w:sz w:val="24"/>
                <w:highlight w:val="none"/>
              </w:rPr>
              <w:t>5</w:t>
            </w:r>
          </w:p>
        </w:tc>
        <w:tc>
          <w:tcPr>
            <w:tcW w:w="993" w:type="dxa"/>
            <w:shd w:val="clear" w:color="auto" w:fill="auto"/>
            <w:vAlign w:val="center"/>
          </w:tcPr>
          <w:p w14:paraId="274BAFC9">
            <w:pPr>
              <w:jc w:val="center"/>
              <w:rPr>
                <w:rFonts w:ascii="宋体" w:hAnsi="宋体" w:eastAsia="宋体" w:cs="宋体"/>
                <w:sz w:val="24"/>
                <w:highlight w:val="none"/>
              </w:rPr>
            </w:pPr>
            <w:r>
              <w:rPr>
                <w:rFonts w:hint="eastAsia" w:ascii="宋体" w:hAnsi="宋体" w:eastAsia="宋体" w:cs="宋体"/>
                <w:sz w:val="24"/>
                <w:highlight w:val="none"/>
              </w:rPr>
              <w:t>资质</w:t>
            </w:r>
          </w:p>
        </w:tc>
        <w:tc>
          <w:tcPr>
            <w:tcW w:w="875" w:type="dxa"/>
            <w:vAlign w:val="center"/>
          </w:tcPr>
          <w:p w14:paraId="37A1276E">
            <w:pPr>
              <w:jc w:val="center"/>
              <w:rPr>
                <w:rFonts w:ascii="宋体" w:hAnsi="宋体" w:eastAsia="宋体" w:cs="宋体"/>
                <w:sz w:val="24"/>
                <w:highlight w:val="none"/>
              </w:rPr>
            </w:pPr>
          </w:p>
        </w:tc>
        <w:tc>
          <w:tcPr>
            <w:tcW w:w="6623" w:type="dxa"/>
            <w:vAlign w:val="center"/>
          </w:tcPr>
          <w:p w14:paraId="0EF12AC2">
            <w:pPr>
              <w:rPr>
                <w:rFonts w:ascii="宋体" w:hAnsi="宋体" w:eastAsia="宋体" w:cs="宋体"/>
                <w:sz w:val="24"/>
                <w:highlight w:val="none"/>
              </w:rPr>
            </w:pPr>
            <w:r>
              <w:rPr>
                <w:rFonts w:hint="eastAsia" w:ascii="宋体" w:hAnsi="宋体" w:eastAsia="宋体" w:cs="宋体"/>
                <w:sz w:val="24"/>
                <w:highlight w:val="none"/>
              </w:rPr>
              <w:t>提供有效的工信部电信设备进网许可证证书复印件</w:t>
            </w:r>
          </w:p>
        </w:tc>
      </w:tr>
      <w:tr w14:paraId="6ACD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93" w:type="dxa"/>
            <w:vAlign w:val="center"/>
          </w:tcPr>
          <w:p w14:paraId="563FE641">
            <w:pPr>
              <w:jc w:val="center"/>
              <w:rPr>
                <w:rFonts w:ascii="宋体" w:hAnsi="宋体" w:eastAsia="宋体" w:cs="宋体"/>
                <w:sz w:val="24"/>
                <w:highlight w:val="none"/>
              </w:rPr>
            </w:pPr>
            <w:r>
              <w:rPr>
                <w:rFonts w:ascii="宋体" w:hAnsi="宋体" w:eastAsia="宋体" w:cs="宋体"/>
                <w:sz w:val="24"/>
                <w:highlight w:val="none"/>
              </w:rPr>
              <w:t>6</w:t>
            </w:r>
          </w:p>
        </w:tc>
        <w:tc>
          <w:tcPr>
            <w:tcW w:w="993" w:type="dxa"/>
            <w:shd w:val="clear" w:color="auto" w:fill="auto"/>
            <w:vAlign w:val="center"/>
          </w:tcPr>
          <w:p w14:paraId="2F92F014">
            <w:pPr>
              <w:jc w:val="center"/>
              <w:rPr>
                <w:rFonts w:ascii="宋体" w:hAnsi="宋体" w:eastAsia="宋体" w:cs="宋体"/>
                <w:sz w:val="24"/>
                <w:highlight w:val="none"/>
              </w:rPr>
            </w:pPr>
            <w:r>
              <w:rPr>
                <w:rFonts w:hint="eastAsia" w:ascii="宋体" w:hAnsi="宋体" w:eastAsia="宋体" w:cs="宋体"/>
                <w:sz w:val="24"/>
                <w:highlight w:val="none"/>
              </w:rPr>
              <w:t>质保</w:t>
            </w:r>
          </w:p>
        </w:tc>
        <w:tc>
          <w:tcPr>
            <w:tcW w:w="875" w:type="dxa"/>
            <w:vAlign w:val="center"/>
          </w:tcPr>
          <w:p w14:paraId="2E605DE6">
            <w:pPr>
              <w:jc w:val="center"/>
              <w:rPr>
                <w:rFonts w:ascii="宋体" w:hAnsi="宋体" w:eastAsia="宋体" w:cs="宋体"/>
                <w:sz w:val="24"/>
                <w:highlight w:val="none"/>
              </w:rPr>
            </w:pPr>
          </w:p>
        </w:tc>
        <w:tc>
          <w:tcPr>
            <w:tcW w:w="6623" w:type="dxa"/>
            <w:vAlign w:val="center"/>
          </w:tcPr>
          <w:p w14:paraId="7151225C">
            <w:pPr>
              <w:rPr>
                <w:rFonts w:ascii="宋体" w:hAnsi="宋体" w:eastAsia="宋体" w:cs="宋体"/>
                <w:sz w:val="24"/>
                <w:highlight w:val="none"/>
              </w:rPr>
            </w:pPr>
            <w:r>
              <w:rPr>
                <w:rFonts w:hint="eastAsia" w:ascii="宋体" w:hAnsi="宋体" w:eastAsia="宋体" w:cs="宋体"/>
                <w:sz w:val="24"/>
                <w:highlight w:val="none"/>
              </w:rPr>
              <w:t>3年原厂质保，包含安装、连接、调试服务，投标人提供承诺函并加盖投标人公章。</w:t>
            </w:r>
          </w:p>
        </w:tc>
      </w:tr>
    </w:tbl>
    <w:p w14:paraId="3E6DAAEF">
      <w:pPr>
        <w:rPr>
          <w:rFonts w:ascii="宋体" w:hAnsi="宋体" w:eastAsia="宋体" w:cs="宋体"/>
          <w:sz w:val="24"/>
          <w:highlight w:val="none"/>
        </w:rPr>
      </w:pPr>
    </w:p>
    <w:p w14:paraId="43466338">
      <w:pPr>
        <w:keepNext/>
        <w:numPr>
          <w:ilvl w:val="3"/>
          <w:numId w:val="1"/>
        </w:numPr>
        <w:spacing w:before="240" w:beforeLines="100" w:after="120" w:afterLines="50" w:line="360" w:lineRule="auto"/>
        <w:ind w:left="720" w:hanging="720"/>
        <w:outlineLvl w:val="3"/>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采购标的需满足的服务标准、期限、效率等要求</w:t>
      </w:r>
    </w:p>
    <w:p w14:paraId="38AEAE65">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在质保期内</w:t>
      </w:r>
      <w:r>
        <w:rPr>
          <w:rFonts w:hint="eastAsia" w:ascii="宋体" w:hAnsi="宋体" w:eastAsia="宋体" w:cs="宋体"/>
          <w:bCs/>
          <w:sz w:val="24"/>
          <w:highlight w:val="none"/>
        </w:rPr>
        <w:t>根据合同约定，如出现问题，在收到通知后10分钟内响应，平均故障解决时间不超过2小时；不能当场修复的，必须在约定时间内采取提供备品、备件或备机等措施，以保证正常使用。</w:t>
      </w:r>
    </w:p>
    <w:p w14:paraId="03CECAE3">
      <w:pPr>
        <w:keepNext/>
        <w:numPr>
          <w:ilvl w:val="3"/>
          <w:numId w:val="1"/>
        </w:numPr>
        <w:spacing w:before="240" w:beforeLines="100" w:after="120" w:afterLines="50" w:line="360" w:lineRule="auto"/>
        <w:ind w:left="720" w:hanging="720"/>
        <w:outlineLvl w:val="3"/>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需由供应商提供设计方案、解决方案或者组织方案的采购项目，应当说明采购标的的功能、应用场景、目标等基本要求</w:t>
      </w:r>
    </w:p>
    <w:p w14:paraId="668F918D">
      <w:pPr>
        <w:keepNext/>
        <w:numPr>
          <w:ilvl w:val="4"/>
          <w:numId w:val="1"/>
        </w:numPr>
        <w:spacing w:before="240" w:beforeLines="100" w:after="120" w:afterLines="50" w:line="360" w:lineRule="auto"/>
        <w:ind w:left="720" w:hanging="720"/>
        <w:outlineLvl w:val="4"/>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建设需求</w:t>
      </w:r>
    </w:p>
    <w:p w14:paraId="1DDA4960">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满足北京智慧城市数字底座对智能算力的需求，设计多种形态的算力服务器，通过采购GPU服务器及AI参数面交换机，构建智能算力底座，为我市智慧城市底座应用的智能化升级提供支撑,提供需求分析和产品选型优势分析方案。</w:t>
      </w:r>
    </w:p>
    <w:p w14:paraId="05731202">
      <w:pPr>
        <w:keepNext/>
        <w:numPr>
          <w:ilvl w:val="5"/>
          <w:numId w:val="1"/>
        </w:numPr>
        <w:spacing w:before="240" w:beforeLines="100" w:after="120" w:afterLines="50" w:line="360" w:lineRule="auto"/>
        <w:ind w:left="720" w:hanging="720"/>
        <w:outlineLvl w:val="5"/>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功能需求</w:t>
      </w:r>
    </w:p>
    <w:p w14:paraId="71D641A8">
      <w:pPr>
        <w:spacing w:line="360" w:lineRule="auto"/>
        <w:ind w:firstLine="482" w:firstLineChars="200"/>
        <w:contextualSpacing/>
        <w:rPr>
          <w:rFonts w:ascii="宋体" w:hAnsi="宋体" w:eastAsia="宋体" w:cs="宋体"/>
          <w:sz w:val="24"/>
          <w:highlight w:val="none"/>
        </w:rPr>
      </w:pPr>
      <w:r>
        <w:rPr>
          <w:rFonts w:ascii="宋体" w:hAnsi="宋体" w:eastAsia="宋体" w:cs="宋体"/>
          <w:b/>
          <w:bCs/>
          <w:sz w:val="24"/>
          <w:highlight w:val="none"/>
        </w:rPr>
        <w:t>形成规模化AI算力供给能力：</w:t>
      </w:r>
      <w:r>
        <w:rPr>
          <w:rFonts w:ascii="宋体" w:hAnsi="宋体" w:eastAsia="宋体" w:cs="宋体"/>
          <w:sz w:val="24"/>
          <w:highlight w:val="none"/>
        </w:rPr>
        <w:t>需提供不低于</w:t>
      </w:r>
      <w:r>
        <w:rPr>
          <w:rFonts w:hint="eastAsia" w:ascii="宋体" w:hAnsi="宋体" w:eastAsia="宋体" w:cs="宋体"/>
          <w:sz w:val="24"/>
          <w:highlight w:val="none"/>
        </w:rPr>
        <w:t>40PFLOPS（</w:t>
      </w:r>
      <w:r>
        <w:rPr>
          <w:rFonts w:ascii="宋体" w:hAnsi="宋体" w:eastAsia="宋体" w:cs="宋体"/>
          <w:sz w:val="24"/>
          <w:highlight w:val="none"/>
        </w:rPr>
        <w:t>FP16半精度浮点运算能力）的算力，能够支持百亿至千亿参数规模大模型的高效推理任务。</w:t>
      </w:r>
    </w:p>
    <w:p w14:paraId="7E8EFD30">
      <w:pPr>
        <w:spacing w:line="360" w:lineRule="auto"/>
        <w:ind w:firstLine="482" w:firstLineChars="200"/>
        <w:contextualSpacing/>
        <w:rPr>
          <w:rFonts w:ascii="宋体" w:hAnsi="宋体" w:eastAsia="宋体" w:cs="宋体"/>
          <w:sz w:val="24"/>
          <w:highlight w:val="none"/>
        </w:rPr>
      </w:pPr>
      <w:r>
        <w:rPr>
          <w:rFonts w:ascii="宋体" w:hAnsi="宋体" w:eastAsia="宋体" w:cs="宋体"/>
          <w:b/>
          <w:bCs/>
          <w:sz w:val="24"/>
          <w:highlight w:val="none"/>
        </w:rPr>
        <w:t>构建高速无损计算网络：</w:t>
      </w:r>
      <w:r>
        <w:rPr>
          <w:rFonts w:ascii="宋体" w:hAnsi="宋体" w:eastAsia="宋体" w:cs="宋体"/>
          <w:sz w:val="24"/>
          <w:highlight w:val="none"/>
        </w:rPr>
        <w:t>通过AI</w:t>
      </w:r>
      <w:r>
        <w:rPr>
          <w:rFonts w:hint="eastAsia" w:ascii="宋体" w:hAnsi="宋体" w:eastAsia="宋体" w:cs="宋体"/>
          <w:sz w:val="24"/>
          <w:highlight w:val="none"/>
        </w:rPr>
        <w:t>参数面</w:t>
      </w:r>
      <w:r>
        <w:rPr>
          <w:rFonts w:ascii="宋体" w:hAnsi="宋体" w:eastAsia="宋体" w:cs="宋体"/>
          <w:sz w:val="24"/>
          <w:highlight w:val="none"/>
        </w:rPr>
        <w:t>交换机，实现所有算力服务器间的高速互联，构建无阻塞的网络环境。</w:t>
      </w:r>
    </w:p>
    <w:p w14:paraId="4653ED9B">
      <w:pPr>
        <w:spacing w:line="360" w:lineRule="auto"/>
        <w:ind w:firstLine="482" w:firstLineChars="200"/>
        <w:contextualSpacing/>
        <w:rPr>
          <w:rFonts w:ascii="宋体" w:hAnsi="宋体" w:eastAsia="宋体" w:cs="宋体"/>
          <w:sz w:val="24"/>
          <w:highlight w:val="none"/>
        </w:rPr>
      </w:pPr>
      <w:r>
        <w:rPr>
          <w:rFonts w:ascii="宋体" w:hAnsi="宋体" w:eastAsia="宋体" w:cs="宋体"/>
          <w:b/>
          <w:bCs/>
          <w:sz w:val="24"/>
          <w:highlight w:val="none"/>
        </w:rPr>
        <w:t>支撑多样化的政务AI场景：</w:t>
      </w:r>
      <w:r>
        <w:rPr>
          <w:rFonts w:ascii="宋体" w:hAnsi="宋体" w:eastAsia="宋体" w:cs="宋体"/>
          <w:sz w:val="24"/>
          <w:highlight w:val="none"/>
        </w:rPr>
        <w:t>需具备良好的通用性和兼容性，能够稳定</w:t>
      </w:r>
      <w:r>
        <w:rPr>
          <w:rFonts w:hint="eastAsia" w:ascii="宋体" w:hAnsi="宋体" w:eastAsia="宋体" w:cs="宋体"/>
          <w:sz w:val="24"/>
          <w:highlight w:val="none"/>
        </w:rPr>
        <w:t>支持不同类型的</w:t>
      </w:r>
      <w:r>
        <w:rPr>
          <w:rFonts w:ascii="宋体" w:hAnsi="宋体" w:eastAsia="宋体" w:cs="宋体"/>
          <w:sz w:val="24"/>
          <w:highlight w:val="none"/>
        </w:rPr>
        <w:t>AI技术栈，满足</w:t>
      </w:r>
      <w:r>
        <w:rPr>
          <w:rFonts w:hint="eastAsia" w:ascii="宋体" w:hAnsi="宋体" w:eastAsia="宋体" w:cs="宋体"/>
          <w:sz w:val="24"/>
          <w:highlight w:val="none"/>
        </w:rPr>
        <w:t>智慧城市底座应用</w:t>
      </w:r>
      <w:r>
        <w:rPr>
          <w:rFonts w:ascii="宋体" w:hAnsi="宋体" w:eastAsia="宋体" w:cs="宋体"/>
          <w:sz w:val="24"/>
          <w:highlight w:val="none"/>
        </w:rPr>
        <w:t>的需求。</w:t>
      </w:r>
    </w:p>
    <w:p w14:paraId="49210559">
      <w:pPr>
        <w:keepNext/>
        <w:numPr>
          <w:ilvl w:val="5"/>
          <w:numId w:val="1"/>
        </w:numPr>
        <w:spacing w:before="240" w:beforeLines="100" w:after="120" w:afterLines="50" w:line="360" w:lineRule="auto"/>
        <w:ind w:left="720" w:hanging="720"/>
        <w:outlineLvl w:val="5"/>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兼容性需求</w:t>
      </w:r>
    </w:p>
    <w:p w14:paraId="03F13DC1">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★投标人提供承诺函并加盖投标人公章，内容为：本项目建设完成后</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需纳入采购人已建设的</w:t>
      </w:r>
      <w:r>
        <w:rPr>
          <w:rFonts w:hint="eastAsia" w:ascii="宋体" w:hAnsi="宋体" w:eastAsia="宋体" w:cs="宋体"/>
          <w:sz w:val="24"/>
          <w:highlight w:val="none"/>
        </w:rPr>
        <w:t>智能算力虚拟化软件（算力平台（BMCP）智算）和AI支撑管理平台（</w:t>
      </w:r>
      <w:r>
        <w:rPr>
          <w:rFonts w:ascii="宋体" w:hAnsi="宋体" w:eastAsia="宋体" w:cs="宋体"/>
          <w:sz w:val="24"/>
          <w:highlight w:val="none"/>
        </w:rPr>
        <w:t>百炼专属版）</w:t>
      </w:r>
      <w:r>
        <w:rPr>
          <w:rFonts w:hint="eastAsia" w:ascii="宋体" w:hAnsi="宋体" w:eastAsia="宋体" w:cs="宋体"/>
          <w:sz w:val="24"/>
          <w:highlight w:val="none"/>
          <w:lang w:val="en-US" w:eastAsia="zh-CN"/>
        </w:rPr>
        <w:t>中，实现</w:t>
      </w:r>
      <w:r>
        <w:rPr>
          <w:rFonts w:hint="eastAsia" w:ascii="宋体" w:hAnsi="宋体" w:eastAsia="宋体" w:cs="宋体"/>
          <w:sz w:val="24"/>
          <w:highlight w:val="none"/>
        </w:rPr>
        <w:t>统一纳管。</w:t>
      </w:r>
    </w:p>
    <w:p w14:paraId="4DE847F6">
      <w:pPr>
        <w:keepNext/>
        <w:numPr>
          <w:ilvl w:val="5"/>
          <w:numId w:val="1"/>
        </w:numPr>
        <w:spacing w:before="240" w:beforeLines="100" w:after="120" w:afterLines="50" w:line="360" w:lineRule="auto"/>
        <w:ind w:left="720" w:hanging="720"/>
        <w:outlineLvl w:val="5"/>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安全需求</w:t>
      </w:r>
    </w:p>
    <w:p w14:paraId="3CFFF812">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依据《网络安全等级保护基本要求》（GB/T 22239一2019）中第三级安全要求、《信息安全技术 信息系统密码应用基本要求》（GB/T 39786-2021）及中央网信办云计算服务安全评估相关要求、《商用密码应用安全性评估管理办法（试行）》相关要求，本项目需满足等保三级、商用密码应用安全性评估、中央网信办云计算服务安全评估相关要求，中标人需配合完成等保三级、商用密码应用安全性评估和中央网信办云计算服务安全评估。</w:t>
      </w:r>
    </w:p>
    <w:p w14:paraId="6E6F89E8">
      <w:pPr>
        <w:keepNext/>
        <w:numPr>
          <w:ilvl w:val="4"/>
          <w:numId w:val="1"/>
        </w:numPr>
        <w:spacing w:before="240" w:beforeLines="100" w:after="120" w:afterLines="50" w:line="360" w:lineRule="auto"/>
        <w:ind w:left="720" w:hanging="720"/>
        <w:outlineLvl w:val="4"/>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项目实施需求</w:t>
      </w:r>
    </w:p>
    <w:p w14:paraId="31EBEBC6">
      <w:pPr>
        <w:keepNext/>
        <w:numPr>
          <w:ilvl w:val="5"/>
          <w:numId w:val="1"/>
        </w:numPr>
        <w:spacing w:before="240" w:beforeLines="100" w:after="120" w:afterLines="50" w:line="360" w:lineRule="auto"/>
        <w:ind w:left="720" w:hanging="720"/>
        <w:outlineLvl w:val="5"/>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计划与进度管理</w:t>
      </w:r>
    </w:p>
    <w:p w14:paraId="17A4CF57">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 xml:space="preserve">（一）项目计划安排 </w:t>
      </w:r>
    </w:p>
    <w:p w14:paraId="60932335">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 xml:space="preserve">1、货物到货 </w:t>
      </w:r>
    </w:p>
    <w:p w14:paraId="26984F8A">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合同签订后</w:t>
      </w:r>
      <w:r>
        <w:rPr>
          <w:rFonts w:ascii="宋体" w:hAnsi="宋体" w:eastAsia="宋体" w:cs="宋体"/>
          <w:sz w:val="24"/>
          <w:highlight w:val="none"/>
        </w:rPr>
        <w:t>1</w:t>
      </w:r>
      <w:r>
        <w:rPr>
          <w:rFonts w:hint="eastAsia" w:ascii="宋体" w:hAnsi="宋体" w:eastAsia="宋体" w:cs="宋体"/>
          <w:sz w:val="24"/>
          <w:highlight w:val="none"/>
        </w:rPr>
        <w:t>个月内完成全部设备到货工作，按照采购人要求组织开展货物质量验收。</w:t>
      </w:r>
    </w:p>
    <w:p w14:paraId="091A5A5D">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2、项目初验</w:t>
      </w:r>
    </w:p>
    <w:p w14:paraId="5E0D1A58">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合同签订后</w:t>
      </w:r>
      <w:r>
        <w:rPr>
          <w:rFonts w:ascii="宋体" w:hAnsi="宋体" w:eastAsia="宋体" w:cs="宋体"/>
          <w:sz w:val="24"/>
          <w:highlight w:val="none"/>
        </w:rPr>
        <w:t>3</w:t>
      </w:r>
      <w:r>
        <w:rPr>
          <w:rFonts w:hint="eastAsia" w:ascii="宋体" w:hAnsi="宋体" w:eastAsia="宋体" w:cs="宋体"/>
          <w:sz w:val="24"/>
          <w:highlight w:val="none"/>
        </w:rPr>
        <w:t>个月，完成设备的上架安装、联调测试，开展项目初验工作。</w:t>
      </w:r>
    </w:p>
    <w:p w14:paraId="215D021E">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3、上线试运行</w:t>
      </w:r>
    </w:p>
    <w:p w14:paraId="02AE4B4B">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初验通过后，上线试运行，制定培训计划，对各类用户进行功能培训、操作培训、运维培训，并达到培训目标。</w:t>
      </w:r>
    </w:p>
    <w:p w14:paraId="087B597D">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 xml:space="preserve">4、项目终验 </w:t>
      </w:r>
    </w:p>
    <w:p w14:paraId="798C93EC">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完成项目终验、系统正式上线运行。</w:t>
      </w:r>
    </w:p>
    <w:p w14:paraId="624BD5DD">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以上时间计划以采购人实际要求为准。</w:t>
      </w:r>
    </w:p>
    <w:p w14:paraId="4CE67531">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（二）进度管理要求</w:t>
      </w:r>
    </w:p>
    <w:p w14:paraId="5C7F5E1A">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1.采购人有权监督和管理采购项目的测试、安装、调试、验收等各项工作，投标人必须接受并服从采购人的监督、管理要求，按要求提供中间过程工作成果。</w:t>
      </w:r>
    </w:p>
    <w:p w14:paraId="4A893ABE">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2.投标人在项目实施过程中应对项目问题及进度延迟原因进行说明，制定合理的解决措施并有效执行。</w:t>
      </w:r>
    </w:p>
    <w:p w14:paraId="3D47E9D6">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3.投标人在项目实施过程中应加强问题管理，特别对采购人提出的问题应在约定的时间内及时解决，否则由此导致的进度延迟责任由投标人承担。</w:t>
      </w:r>
    </w:p>
    <w:p w14:paraId="0E192475">
      <w:pPr>
        <w:keepNext/>
        <w:numPr>
          <w:ilvl w:val="5"/>
          <w:numId w:val="1"/>
        </w:numPr>
        <w:spacing w:before="240" w:beforeLines="100" w:after="120" w:afterLines="50" w:line="360" w:lineRule="auto"/>
        <w:ind w:left="720" w:hanging="720"/>
        <w:outlineLvl w:val="5"/>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项目实施管理</w:t>
      </w:r>
    </w:p>
    <w:p w14:paraId="6AACD4BB">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投标人需进行设备安装规划和安装调试方案，详细说明GPU服务器和AI参数面交换机的部署连接，设计最优的集群组网架构，确保性能最大化。同时本项目建设内容需与已建设智能算力虚拟化软件和AI支撑管理平台实现对接，并接受其统一纳管。在项目实施阶段，需安排原厂人员解决设备调试及模型部署使用中遇到的问题。</w:t>
      </w:r>
    </w:p>
    <w:p w14:paraId="1842CE44">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提供兼容适配方案，包括智能算力虚拟化软件和AI支撑管理平台对接方案、兼容适配方案。提供项目实施方案，包括供货运输方案、安装调试方案、保障措施方案。</w:t>
      </w:r>
    </w:p>
    <w:p w14:paraId="51A715B4">
      <w:pPr>
        <w:keepNext/>
        <w:numPr>
          <w:ilvl w:val="5"/>
          <w:numId w:val="1"/>
        </w:numPr>
        <w:spacing w:before="240" w:beforeLines="100" w:after="120" w:afterLines="50" w:line="360" w:lineRule="auto"/>
        <w:ind w:left="720" w:hanging="720"/>
        <w:outlineLvl w:val="5"/>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质量管理</w:t>
      </w:r>
    </w:p>
    <w:p w14:paraId="0F41DE20">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本项目设立第三方监理机构，投标人应按照监理机构要求，接受采购人及监理机构的质量监督检查，提交各类项目所需文档，接受提出的质量问题整改要求，承担质量责任及因质量问题导致的进度延迟责任。</w:t>
      </w:r>
    </w:p>
    <w:p w14:paraId="3333170E">
      <w:pPr>
        <w:keepNext/>
        <w:numPr>
          <w:ilvl w:val="4"/>
          <w:numId w:val="1"/>
        </w:numPr>
        <w:spacing w:before="240" w:beforeLines="100" w:after="120" w:afterLines="50" w:line="360" w:lineRule="auto"/>
        <w:ind w:left="720" w:hanging="720"/>
        <w:outlineLvl w:val="4"/>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售后服务保障需求</w:t>
      </w:r>
    </w:p>
    <w:p w14:paraId="76EEDF35">
      <w:pPr>
        <w:keepNext/>
        <w:numPr>
          <w:ilvl w:val="5"/>
          <w:numId w:val="1"/>
        </w:numPr>
        <w:spacing w:before="240" w:beforeLines="100" w:after="120" w:afterLines="50" w:line="360" w:lineRule="auto"/>
        <w:ind w:left="720" w:hanging="720"/>
        <w:outlineLvl w:val="5"/>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产品售后及技术服务需求</w:t>
      </w:r>
    </w:p>
    <w:p w14:paraId="09923385">
      <w:pPr>
        <w:keepNext/>
        <w:numPr>
          <w:ilvl w:val="5"/>
          <w:numId w:val="1"/>
        </w:numPr>
        <w:spacing w:before="240" w:beforeLines="100" w:after="120" w:afterLines="50" w:line="360" w:lineRule="auto"/>
        <w:ind w:left="720" w:hanging="720"/>
        <w:outlineLvl w:val="5"/>
        <w:rPr>
          <w:rFonts w:ascii="宋体" w:hAnsi="宋体" w:eastAsia="宋体" w:cs="宋体"/>
          <w:b/>
          <w:kern w:val="2"/>
          <w:sz w:val="24"/>
          <w:szCs w:val="24"/>
          <w:highlight w:val="none"/>
          <w:lang w:val="en-US" w:eastAsia="zh-CN" w:bidi="ar-SA"/>
        </w:rPr>
      </w:pPr>
      <w:r>
        <w:rPr>
          <w:rFonts w:hint="eastAsia" w:ascii="宋体" w:hAnsi="宋体" w:eastAsia="黑体" w:cs="宋体"/>
          <w:b/>
          <w:kern w:val="2"/>
          <w:sz w:val="24"/>
          <w:szCs w:val="22"/>
          <w:highlight w:val="none"/>
          <w:lang w:val="en-US" w:eastAsia="zh-CN" w:bidi="ar-SA"/>
        </w:rPr>
        <w:t>投标人需承诺项目中采购的硬件产品在北京有备品备件库，可满足应急时的替换和维修，对稳定运行有重大影响的关键设备在出现问题后需在12小时内进行更换，其他产品配件出现问题时可在24小时内进行更换，整机产品出现问题时可在48小时内提供备机。提供售后服务方案。</w:t>
      </w:r>
      <w:r>
        <w:rPr>
          <w:rFonts w:hint="eastAsia" w:ascii="宋体" w:hAnsi="宋体" w:eastAsia="宋体" w:cs="宋体"/>
          <w:b/>
          <w:kern w:val="2"/>
          <w:sz w:val="24"/>
          <w:szCs w:val="24"/>
          <w:highlight w:val="none"/>
          <w:lang w:val="en-US" w:eastAsia="zh-CN" w:bidi="ar-SA"/>
        </w:rPr>
        <w:t>培训需求</w:t>
      </w:r>
    </w:p>
    <w:p w14:paraId="6EE20EF2">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投标人应针对本项目提供不少于3次培训，投标人应列出详细的培训计划，包括培训要求、培训内容、时间、地点、人数等，制定对应的培训方案，针对采购内容的操作使用和管理维护，必须由具备丰富经验的原厂人员进行授课。</w:t>
      </w:r>
    </w:p>
    <w:p w14:paraId="742F2805">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培训对象：培训对象为本项目管理单位相关工作人员，系统设备维护人员以及使用人员。</w:t>
      </w:r>
    </w:p>
    <w:p w14:paraId="3A70F012">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培训内容：应包括但不限于功能、管理、调度、服务使用等内容。</w:t>
      </w:r>
    </w:p>
    <w:p w14:paraId="0B8EF75A">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培训方式：培训方式采用集中培训、现场培训、发放宣传材料等相结合的方式，针对不同层次的人员，开设不同的培训课程和确定培训方式。</w:t>
      </w:r>
    </w:p>
    <w:p w14:paraId="04756ACB">
      <w:pPr>
        <w:keepNext/>
        <w:numPr>
          <w:ilvl w:val="5"/>
          <w:numId w:val="1"/>
        </w:numPr>
        <w:spacing w:before="240" w:beforeLines="100" w:after="120" w:afterLines="50" w:line="360" w:lineRule="auto"/>
        <w:ind w:left="720" w:hanging="720"/>
        <w:outlineLvl w:val="5"/>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试运行保障需求</w:t>
      </w:r>
    </w:p>
    <w:p w14:paraId="0B000F86">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项目进入试运行后，中标人需安排团队进行持续保障优化，进行重点专项保障，保障安全稳定运行,发挥应有能力，对发现的问题进行优化提升，做好重大活动保障。</w:t>
      </w:r>
    </w:p>
    <w:p w14:paraId="53D2D38F">
      <w:pPr>
        <w:keepNext/>
        <w:numPr>
          <w:ilvl w:val="5"/>
          <w:numId w:val="1"/>
        </w:numPr>
        <w:spacing w:before="240" w:beforeLines="100" w:after="120" w:afterLines="50" w:line="360" w:lineRule="auto"/>
        <w:ind w:left="720" w:hanging="720"/>
        <w:outlineLvl w:val="5"/>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重点保障需求</w:t>
      </w:r>
    </w:p>
    <w:p w14:paraId="521E93A7">
      <w:pPr>
        <w:spacing w:line="360" w:lineRule="auto"/>
        <w:ind w:firstLine="480" w:firstLineChars="200"/>
        <w:contextualSpacing/>
        <w:rPr>
          <w:rFonts w:ascii="宋体" w:hAnsi="宋体" w:eastAsia="宋体" w:cs="宋体"/>
          <w:sz w:val="24"/>
          <w:highlight w:val="none"/>
        </w:rPr>
      </w:pPr>
      <w:r>
        <w:rPr>
          <w:rFonts w:ascii="宋体" w:hAnsi="宋体" w:eastAsia="宋体" w:cs="宋体"/>
          <w:sz w:val="24"/>
          <w:highlight w:val="none"/>
        </w:rPr>
        <w:t>建设期内投标人需针对五一、十一、两会等重大活动保障，按照采购人要求增派人员进行</w:t>
      </w:r>
      <w:r>
        <w:rPr>
          <w:rFonts w:hint="eastAsia" w:ascii="宋体" w:hAnsi="宋体" w:eastAsia="宋体" w:cs="宋体"/>
          <w:sz w:val="24"/>
          <w:highlight w:val="none"/>
        </w:rPr>
        <w:t>2</w:t>
      </w:r>
      <w:r>
        <w:rPr>
          <w:rFonts w:ascii="宋体" w:hAnsi="宋体" w:eastAsia="宋体" w:cs="宋体"/>
          <w:sz w:val="24"/>
          <w:highlight w:val="none"/>
        </w:rPr>
        <w:t>4小时值守保障，提供重点保障方案。</w:t>
      </w:r>
    </w:p>
    <w:p w14:paraId="185F7DC9">
      <w:pPr>
        <w:keepNext/>
        <w:numPr>
          <w:ilvl w:val="4"/>
          <w:numId w:val="1"/>
        </w:numPr>
        <w:spacing w:before="240" w:beforeLines="100" w:after="120" w:afterLines="50" w:line="360" w:lineRule="auto"/>
        <w:ind w:left="720" w:hanging="720"/>
        <w:outlineLvl w:val="4"/>
        <w:rPr>
          <w:rFonts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项目团队</w:t>
      </w:r>
    </w:p>
    <w:p w14:paraId="4219993A">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投标人应组织不少于1</w:t>
      </w:r>
      <w:r>
        <w:rPr>
          <w:rFonts w:ascii="宋体" w:hAnsi="宋体" w:eastAsia="宋体" w:cs="宋体"/>
          <w:sz w:val="24"/>
          <w:highlight w:val="none"/>
        </w:rPr>
        <w:t>1</w:t>
      </w:r>
      <w:r>
        <w:rPr>
          <w:rFonts w:hint="eastAsia" w:ascii="宋体" w:hAnsi="宋体" w:eastAsia="宋体" w:cs="宋体"/>
          <w:sz w:val="24"/>
          <w:highlight w:val="none"/>
        </w:rPr>
        <w:t>人的实施团队，负责本项目实施工作；团队人员应具备专业技术能力和丰富的相关工作经验，人员配备合理，并遵守建设单位相关管理规定，有能力独立处理和解决出现的各类问题；熟悉GPU服务器、AI参数面交换机和相关系统的操作，有能力独立处理和解决出现的各类问题，必要时提供二线技术支持。</w:t>
      </w:r>
    </w:p>
    <w:p w14:paraId="7B8DD5C8">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项目经理1名：至少10年及以上类似项目工作经验，具备高级项目管理师证书和高级系统架构师证书。</w:t>
      </w:r>
    </w:p>
    <w:p w14:paraId="455C86F1">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同时，为保证项目的顺利推动，除项目经理外，需提供至少10名团队成员，团队成员应取得有关技术资格认定证书，至少包含</w:t>
      </w:r>
      <w:r>
        <w:rPr>
          <w:rFonts w:hint="eastAsia" w:ascii="宋体" w:hAnsi="宋体" w:eastAsia="宋体" w:cs="宋体"/>
          <w:kern w:val="0"/>
          <w:sz w:val="24"/>
          <w:highlight w:val="none"/>
          <w:lang w:bidi="ar"/>
        </w:rPr>
        <w:t>高级系统分析师证书、</w:t>
      </w:r>
      <w:r>
        <w:rPr>
          <w:rFonts w:hint="eastAsia" w:ascii="宋体" w:hAnsi="宋体" w:eastAsia="宋体" w:cs="宋体"/>
          <w:sz w:val="24"/>
          <w:highlight w:val="none"/>
        </w:rPr>
        <w:t>网络工程师证书（中级或以上）、网络规划设计师证书。</w:t>
      </w:r>
    </w:p>
    <w:p w14:paraId="38B41391">
      <w:pPr>
        <w:keepNext/>
        <w:numPr>
          <w:ilvl w:val="2"/>
          <w:numId w:val="1"/>
        </w:numPr>
        <w:spacing w:before="240" w:beforeLines="100" w:after="120" w:afterLines="50" w:line="360" w:lineRule="auto"/>
        <w:ind w:left="720"/>
        <w:outlineLvl w:val="2"/>
        <w:rPr>
          <w:rFonts w:ascii="宋体" w:hAnsi="宋体" w:eastAsia="宋体" w:cs="宋体"/>
          <w:b/>
          <w:kern w:val="2"/>
          <w:sz w:val="24"/>
          <w:szCs w:val="24"/>
          <w:highlight w:val="none"/>
          <w:lang w:val="en-US" w:eastAsia="zh-CN" w:bidi="ar-SA"/>
        </w:rPr>
      </w:pPr>
      <w:bookmarkStart w:id="12" w:name="_Toc4596"/>
      <w:r>
        <w:rPr>
          <w:rFonts w:hint="eastAsia" w:ascii="宋体" w:hAnsi="宋体" w:eastAsia="宋体" w:cs="宋体"/>
          <w:b/>
          <w:kern w:val="2"/>
          <w:sz w:val="24"/>
          <w:szCs w:val="24"/>
          <w:highlight w:val="none"/>
          <w:lang w:val="en-US" w:eastAsia="zh-CN" w:bidi="ar-SA"/>
        </w:rPr>
        <w:t>验收标准</w:t>
      </w:r>
      <w:bookmarkEnd w:id="12"/>
    </w:p>
    <w:p w14:paraId="13578AF0">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本项目验收工作分</w:t>
      </w:r>
      <w:r>
        <w:rPr>
          <w:rFonts w:ascii="宋体" w:hAnsi="宋体" w:eastAsia="宋体" w:cs="宋体"/>
          <w:sz w:val="24"/>
          <w:highlight w:val="none"/>
        </w:rPr>
        <w:t>5</w:t>
      </w:r>
      <w:r>
        <w:rPr>
          <w:rFonts w:hint="eastAsia" w:ascii="宋体" w:hAnsi="宋体" w:eastAsia="宋体" w:cs="宋体"/>
          <w:sz w:val="24"/>
          <w:highlight w:val="none"/>
        </w:rPr>
        <w:t>个阶段开展，中标人需根据各阶段要求完成项目整体测试、验收工作：</w:t>
      </w:r>
    </w:p>
    <w:p w14:paraId="46B163E5">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到货验收：中标人提供的设备抵达采购人现场后，采购人应对货物的型号、规格、数量等方面进行核查签收，设备的外包装应完整、设备表面完好、设备数量需符合本招标文件要求，采购人签署《到货签收单》。</w:t>
      </w:r>
    </w:p>
    <w:p w14:paraId="32FB42B0">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 xml:space="preserve">质量验收：中标人对硬件设备通过加电测试进行质量验收并提供《加电测试报告》。货物在交货过程中发生意外事故以及其他原因造成的损失和风险由中标人承担。 </w:t>
      </w:r>
    </w:p>
    <w:p w14:paraId="65B56A61">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 xml:space="preserve">初步验收：项目完成安装调试后申请初步验收。项目初步验收将由采购人或采购人委托监理单位组织专家评审进行。初步验收合格的，双方签署《初验报告》。若项目初步验收未能通过，则中标人应就验收过程中出现的问题和原因进行排查，待问题全部解决后重新申请初步验收。 </w:t>
      </w:r>
    </w:p>
    <w:p w14:paraId="0D0ED3BC">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 xml:space="preserve">试运行：初步验收合格后，项目转入试运行期。试运行期间中标人应有专业技术人员进行技术支持，应由中标人及时处理解决试运行期间的问题，由此产生的费用由中标人承担。 </w:t>
      </w:r>
    </w:p>
    <w:p w14:paraId="41D65581">
      <w:pPr>
        <w:spacing w:line="360" w:lineRule="auto"/>
        <w:ind w:firstLine="480" w:firstLineChars="200"/>
        <w:contextualSpacing/>
        <w:rPr>
          <w:rFonts w:ascii="宋体" w:hAnsi="宋体" w:eastAsia="宋体" w:cs="宋体"/>
          <w:sz w:val="24"/>
          <w:highlight w:val="none"/>
        </w:rPr>
      </w:pPr>
      <w:r>
        <w:rPr>
          <w:rFonts w:hint="eastAsia" w:ascii="宋体" w:hAnsi="宋体" w:eastAsia="宋体" w:cs="宋体"/>
          <w:sz w:val="24"/>
          <w:highlight w:val="none"/>
        </w:rPr>
        <w:t>项目终验：试运行完成后，中标人应配合采购人完成整个项目的最终验收工作，包含最终测试、终验、项目审计等。项目终验程序按照项目要求进行。验收合格的，双方签署《终验报告》。若项目最终验收未能通过，则中标人应就验收过程中出现的问题和原因进行排查，待问题全部解决后重新申请项目最终验收。</w:t>
      </w:r>
    </w:p>
    <w:p w14:paraId="31AD4ABF">
      <w:pPr>
        <w:spacing w:line="360" w:lineRule="auto"/>
        <w:ind w:firstLine="723" w:firstLineChars="200"/>
        <w:contextualSpacing/>
        <w:jc w:val="left"/>
        <w:rPr>
          <w:rFonts w:ascii="Times New Roman" w:hAnsi="Times New Roman" w:eastAsia="宋体" w:cs="Times New Roman"/>
          <w:b/>
          <w:sz w:val="36"/>
          <w:szCs w:val="36"/>
          <w:highlight w:val="none"/>
        </w:rPr>
      </w:pPr>
    </w:p>
    <w:p w14:paraId="11F462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Helvetica">
    <w:panose1 w:val="020B0504020202030204"/>
    <w:charset w:val="00"/>
    <w:family w:val="swiss"/>
    <w:pitch w:val="default"/>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CE0AB"/>
    <w:multiLevelType w:val="multilevel"/>
    <w:tmpl w:val="927CE0AB"/>
    <w:lvl w:ilvl="0" w:tentative="0">
      <w:start w:val="1"/>
      <w:numFmt w:val="decimal"/>
      <w:lvlText w:val="%1"/>
      <w:lvlJc w:val="left"/>
      <w:pPr>
        <w:ind w:left="432" w:hanging="432"/>
      </w:pPr>
      <w:rPr>
        <w:lang w:eastAsia="zh-CN"/>
      </w:rPr>
    </w:lvl>
    <w:lvl w:ilvl="1" w:tentative="0">
      <w:start w:val="1"/>
      <w:numFmt w:val="decimal"/>
      <w:lvlText w:val="%1.%2"/>
      <w:lvlJc w:val="left"/>
      <w:pPr>
        <w:ind w:left="1001" w:hanging="576"/>
      </w:pPr>
      <w:rPr>
        <w:lang w:eastAsia="zh-CN"/>
      </w:rPr>
    </w:lvl>
    <w:lvl w:ilvl="2" w:tentative="0">
      <w:start w:val="1"/>
      <w:numFmt w:val="decimal"/>
      <w:lvlText w:val="%1.%2.%3"/>
      <w:lvlJc w:val="left"/>
      <w:pPr>
        <w:ind w:left="1004" w:hanging="720"/>
      </w:pPr>
    </w:lvl>
    <w:lvl w:ilvl="3" w:tentative="0">
      <w:start w:val="1"/>
      <w:numFmt w:val="decimal"/>
      <w:lvlText w:val="%1.%2.%3.%4"/>
      <w:lvlJc w:val="left"/>
      <w:pPr>
        <w:ind w:left="1998" w:hanging="864"/>
      </w:pPr>
      <w:rPr>
        <w:rFonts w:hint="default" w:ascii="宋体" w:hAnsi="宋体" w:eastAsia="宋体" w:cs="宋体"/>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FE9AC4CB"/>
    <w:multiLevelType w:val="multilevel"/>
    <w:tmpl w:val="FE9AC4CB"/>
    <w:lvl w:ilvl="0" w:tentative="0">
      <w:start w:val="1"/>
      <w:numFmt w:val="decimal"/>
      <w:lvlText w:val="%1"/>
      <w:lvlJc w:val="left"/>
      <w:pPr>
        <w:ind w:left="432" w:hanging="432"/>
      </w:pPr>
      <w:rPr>
        <w:lang w:eastAsia="zh-CN"/>
      </w:rPr>
    </w:lvl>
    <w:lvl w:ilvl="1" w:tentative="0">
      <w:start w:val="1"/>
      <w:numFmt w:val="decimal"/>
      <w:lvlText w:val="%1.%2"/>
      <w:lvlJc w:val="left"/>
      <w:pPr>
        <w:ind w:left="1001" w:hanging="576"/>
      </w:pPr>
      <w:rPr>
        <w:lang w:eastAsia="zh-CN"/>
      </w:rPr>
    </w:lvl>
    <w:lvl w:ilvl="2" w:tentative="0">
      <w:start w:val="1"/>
      <w:numFmt w:val="decimal"/>
      <w:lvlText w:val="%1.%2.%3"/>
      <w:lvlJc w:val="left"/>
      <w:pPr>
        <w:ind w:left="1004" w:hanging="720"/>
      </w:pPr>
    </w:lvl>
    <w:lvl w:ilvl="3" w:tentative="0">
      <w:start w:val="1"/>
      <w:numFmt w:val="decimal"/>
      <w:lvlText w:val="%1.%2.%3.%4"/>
      <w:lvlJc w:val="left"/>
      <w:pPr>
        <w:ind w:left="1998"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A0B9B"/>
    <w:rsid w:val="589B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
    <w:name w:val="msolistparagraph"/>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4104</Words>
  <Characters>4362</Characters>
  <Lines>0</Lines>
  <Paragraphs>0</Paragraphs>
  <TotalTime>0</TotalTime>
  <ScaleCrop>false</ScaleCrop>
  <LinksUpToDate>false</LinksUpToDate>
  <CharactersWithSpaces>4409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2026-06-25T06:36:00Z</dcterms:created>
  <dc:creator>user</dc:creator>
  <cp:lastModifiedBy>HJT</cp:lastModifiedBy>
  <dcterms:modified xsi:type="dcterms:W3CDTF">2026-07-14T07:01:48Z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34C2C2B9AE084589B3064620AFBB3392_12</vt:lpwstr>
  </property>
</Properties>
</file>